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B2052A"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B2052A" w:rsidRPr="00B31E27" w:rsidRDefault="00B2052A" w:rsidP="00B2052A">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1A7670F5" w:rsidR="00B2052A" w:rsidRPr="00B31E27" w:rsidRDefault="00B2052A" w:rsidP="00B2052A">
            <w:pPr>
              <w:widowControl/>
              <w:spacing w:before="80" w:after="80"/>
              <w:jc w:val="center"/>
              <w:rPr>
                <w:rFonts w:asciiTheme="majorHAnsi" w:hAnsiTheme="majorHAnsi" w:cstheme="majorHAnsi"/>
                <w:b/>
                <w:bCs/>
              </w:rPr>
            </w:pPr>
            <w:r w:rsidRPr="003B16A3">
              <w:t>Pharmacology for Nursing</w:t>
            </w:r>
          </w:p>
        </w:tc>
      </w:tr>
      <w:tr w:rsidR="00B2052A"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B2052A" w:rsidRPr="00B31E27" w:rsidRDefault="00B2052A" w:rsidP="00B2052A">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197132E0" w:rsidR="00B2052A" w:rsidRPr="00B31E27" w:rsidRDefault="00B2052A" w:rsidP="00B2052A">
            <w:pPr>
              <w:pBdr>
                <w:top w:val="nil"/>
                <w:left w:val="nil"/>
                <w:bottom w:val="nil"/>
                <w:right w:val="nil"/>
                <w:between w:val="nil"/>
              </w:pBdr>
              <w:jc w:val="center"/>
              <w:rPr>
                <w:rFonts w:asciiTheme="majorHAnsi" w:hAnsiTheme="majorHAnsi" w:cstheme="majorHAnsi"/>
                <w:rtl/>
                <w:lang w:bidi="ar-IQ"/>
              </w:rPr>
            </w:pPr>
            <w:r w:rsidRPr="003B16A3">
              <w:rPr>
                <w:rtl/>
              </w:rPr>
              <w:t>د</w:t>
            </w:r>
            <w:r w:rsidRPr="003B16A3">
              <w:rPr>
                <w:rFonts w:hint="cs"/>
                <w:rtl/>
              </w:rPr>
              <w:t>ە</w:t>
            </w:r>
            <w:r w:rsidRPr="003B16A3">
              <w:rPr>
                <w:rFonts w:hint="eastAsia"/>
                <w:rtl/>
              </w:rPr>
              <w:t>رمانناس</w:t>
            </w:r>
            <w:r w:rsidRPr="003B16A3">
              <w:rPr>
                <w:rFonts w:hint="cs"/>
                <w:rtl/>
              </w:rPr>
              <w:t>ی</w:t>
            </w:r>
            <w:r w:rsidRPr="003B16A3">
              <w:rPr>
                <w:rtl/>
              </w:rPr>
              <w:t xml:space="preserve"> ب</w:t>
            </w:r>
            <w:r w:rsidRPr="003B16A3">
              <w:rPr>
                <w:rFonts w:hint="cs"/>
                <w:rtl/>
              </w:rPr>
              <w:t>ۆ</w:t>
            </w:r>
            <w:r w:rsidRPr="003B16A3">
              <w:rPr>
                <w:rtl/>
              </w:rPr>
              <w:t xml:space="preserve"> پارست</w:t>
            </w:r>
            <w:r w:rsidRPr="003B16A3">
              <w:rPr>
                <w:rFonts w:hint="cs"/>
                <w:rtl/>
              </w:rPr>
              <w:t>ی</w:t>
            </w:r>
            <w:r w:rsidRPr="003B16A3">
              <w:rPr>
                <w:rFonts w:hint="eastAsia"/>
                <w:rtl/>
              </w:rPr>
              <w:t>ار</w:t>
            </w:r>
            <w:r w:rsidRPr="003B16A3">
              <w:t xml:space="preserve">  </w:t>
            </w:r>
          </w:p>
        </w:tc>
      </w:tr>
      <w:tr w:rsidR="00B2052A" w:rsidRPr="00B31E27" w14:paraId="1B637881" w14:textId="77777777" w:rsidTr="00956238">
        <w:trPr>
          <w:trHeight w:val="420"/>
          <w:jc w:val="center"/>
        </w:trPr>
        <w:tc>
          <w:tcPr>
            <w:tcW w:w="2780" w:type="dxa"/>
            <w:shd w:val="clear" w:color="auto" w:fill="DBE5F1" w:themeFill="accent1" w:themeFillTint="33"/>
            <w:tcMar>
              <w:top w:w="100" w:type="dxa"/>
              <w:left w:w="100" w:type="dxa"/>
              <w:bottom w:w="100" w:type="dxa"/>
              <w:right w:w="100" w:type="dxa"/>
            </w:tcMar>
          </w:tcPr>
          <w:p w14:paraId="42673EFC" w14:textId="77777777" w:rsidR="00B2052A" w:rsidRPr="00B31E27" w:rsidRDefault="00B2052A" w:rsidP="00B2052A">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F9B545" w14:textId="77777777" w:rsidR="00B2052A" w:rsidRPr="00B2052A" w:rsidRDefault="00B2052A" w:rsidP="00B2052A">
            <w:pPr>
              <w:pBdr>
                <w:top w:val="nil"/>
                <w:left w:val="nil"/>
                <w:bottom w:val="nil"/>
                <w:right w:val="nil"/>
                <w:between w:val="nil"/>
              </w:pBdr>
              <w:jc w:val="center"/>
              <w:rPr>
                <w:rFonts w:asciiTheme="majorHAnsi" w:hAnsiTheme="majorHAnsi" w:cstheme="majorHAnsi"/>
                <w:b/>
                <w:bCs/>
              </w:rPr>
            </w:pPr>
            <w:r w:rsidRPr="00B2052A">
              <w:rPr>
                <w:rFonts w:asciiTheme="majorHAnsi" w:hAnsiTheme="majorHAnsi" w:cstheme="majorHAnsi"/>
                <w:b/>
                <w:bCs/>
                <w:rtl/>
              </w:rPr>
              <w:t>علم الأدوية</w:t>
            </w:r>
            <w:r w:rsidRPr="00B2052A">
              <w:rPr>
                <w:rFonts w:asciiTheme="majorHAnsi" w:hAnsiTheme="majorHAnsi" w:cstheme="majorHAnsi" w:hint="cs"/>
                <w:b/>
                <w:bCs/>
                <w:rtl/>
              </w:rPr>
              <w:t xml:space="preserve"> </w:t>
            </w:r>
            <w:r w:rsidRPr="00B2052A">
              <w:rPr>
                <w:rFonts w:ascii="Arial" w:hAnsi="Arial" w:cs="Arial" w:hint="cs"/>
                <w:b/>
                <w:bCs/>
                <w:rtl/>
                <w:lang w:bidi="ku-Arab-IQ"/>
              </w:rPr>
              <w:t>للتمر</w:t>
            </w:r>
            <w:r w:rsidRPr="00B2052A">
              <w:rPr>
                <w:rFonts w:asciiTheme="majorHAnsi" w:hAnsiTheme="majorHAnsi" w:cstheme="majorHAnsi"/>
                <w:b/>
                <w:bCs/>
                <w:rtl/>
              </w:rPr>
              <w:t>يض</w:t>
            </w:r>
          </w:p>
          <w:p w14:paraId="0DE81467" w14:textId="26B97EE3" w:rsidR="00B2052A" w:rsidRPr="00B31E27" w:rsidRDefault="00B2052A" w:rsidP="00B2052A">
            <w:pPr>
              <w:pBdr>
                <w:top w:val="nil"/>
                <w:left w:val="nil"/>
                <w:bottom w:val="nil"/>
                <w:right w:val="nil"/>
                <w:between w:val="nil"/>
              </w:pBdr>
              <w:jc w:val="center"/>
              <w:rPr>
                <w:rFonts w:asciiTheme="majorHAnsi" w:hAnsiTheme="majorHAnsi" w:cstheme="majorHAnsi"/>
              </w:rPr>
            </w:pPr>
          </w:p>
        </w:tc>
      </w:tr>
      <w:tr w:rsidR="00342DE9"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342DE9" w:rsidRPr="00B31E27" w:rsidRDefault="00342DE9" w:rsidP="001A4CCD">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225AC0C2" w:rsidR="00342DE9" w:rsidRPr="00B31E27" w:rsidRDefault="004C51E8" w:rsidP="001A4CCD">
            <w:pPr>
              <w:spacing w:before="80" w:after="80"/>
              <w:jc w:val="center"/>
              <w:rPr>
                <w:rFonts w:asciiTheme="majorHAnsi" w:hAnsiTheme="majorHAnsi" w:cstheme="majorHAnsi"/>
                <w:color w:val="FF0000"/>
              </w:rPr>
            </w:pPr>
            <w:r w:rsidRPr="00001903">
              <w:rPr>
                <w:rFonts w:asciiTheme="majorHAnsi" w:hAnsiTheme="majorHAnsi" w:cstheme="majorHAns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342DE9" w:rsidRPr="00B31E27" w:rsidRDefault="00342DE9"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3F69625F" w:rsidR="00342DE9" w:rsidRPr="00B31E27" w:rsidRDefault="00D05C2C" w:rsidP="00D05C2C">
            <w:pPr>
              <w:jc w:val="center"/>
              <w:rPr>
                <w:rFonts w:asciiTheme="majorHAnsi" w:hAnsiTheme="majorHAnsi" w:cstheme="majorHAnsi"/>
                <w:color w:val="000000"/>
              </w:rPr>
            </w:pPr>
            <w:r w:rsidRPr="00D05C2C">
              <w:rPr>
                <w:rFonts w:asciiTheme="majorHAnsi" w:hAnsiTheme="majorHAnsi" w:cstheme="majorHAnsi"/>
                <w:color w:val="000000"/>
              </w:rPr>
              <w:t>NU303</w:t>
            </w:r>
          </w:p>
        </w:tc>
      </w:tr>
      <w:tr w:rsidR="003C733C"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3C733C" w:rsidRPr="00B31E27" w:rsidRDefault="00B31E27" w:rsidP="00B31E2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r>
            <w:r w:rsidR="003C733C" w:rsidRPr="00B31E27">
              <w:rPr>
                <w:rFonts w:asciiTheme="majorHAnsi" w:eastAsia="Cambria" w:hAnsiTheme="majorHAnsi" w:cstheme="majorHAnsi"/>
                <w:b/>
              </w:rPr>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43F37584" w:rsidR="003C733C" w:rsidRPr="00B31E27" w:rsidRDefault="00D05C2C"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5</w:t>
            </w:r>
          </w:p>
        </w:tc>
      </w:tr>
      <w:tr w:rsidR="003C733C"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3C733C" w:rsidRPr="00B31E27" w:rsidRDefault="003C733C" w:rsidP="00C470DB">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794FC161" w:rsidR="003C733C" w:rsidRPr="00B31E27" w:rsidRDefault="00D05C2C"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Nursing</w:t>
            </w:r>
          </w:p>
        </w:tc>
      </w:tr>
      <w:tr w:rsidR="00C470DB"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C470DB" w:rsidRPr="00B31E27" w:rsidRDefault="00C470DB"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7EBE11A3" w:rsidR="00C470DB" w:rsidRPr="00B31E27" w:rsidRDefault="00D05C2C"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NU</w:t>
            </w:r>
          </w:p>
        </w:tc>
      </w:tr>
      <w:tr w:rsidR="004C51E8"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4C51E8" w:rsidRPr="00B31E27" w:rsidRDefault="004C51E8" w:rsidP="004C51E8">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3A4D10A1" w:rsidR="004C51E8" w:rsidRPr="00B31E27" w:rsidRDefault="00D205A9" w:rsidP="004C51E8">
            <w:pPr>
              <w:widowControl/>
              <w:spacing w:before="80" w:after="80"/>
              <w:jc w:val="center"/>
              <w:rPr>
                <w:rFonts w:asciiTheme="majorHAnsi" w:eastAsia="Cambria" w:hAnsiTheme="majorHAnsi" w:cstheme="majorHAnsi"/>
                <w:color w:val="999999"/>
              </w:rPr>
            </w:pPr>
            <w:hyperlink r:id="rId7" w:history="1">
              <w:r w:rsidR="004C51E8">
                <w:rPr>
                  <w:rStyle w:val="Hyperlink"/>
                </w:rPr>
                <w:t>List of Modules (noble.edu.krd)</w:t>
              </w:r>
            </w:hyperlink>
            <w:r w:rsidR="004C51E8">
              <w:t xml:space="preserve">  /  </w:t>
            </w:r>
            <w:hyperlink r:id="rId8" w:history="1">
              <w:r w:rsidR="004C51E8">
                <w:rPr>
                  <w:rStyle w:val="Hyperlink"/>
                </w:rPr>
                <w:t>Noble Insitute – Noble Institute</w:t>
              </w:r>
            </w:hyperlink>
          </w:p>
        </w:tc>
      </w:tr>
      <w:tr w:rsidR="004C51E8"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4C51E8" w:rsidRPr="00B31E27" w:rsidRDefault="004C51E8" w:rsidP="004C51E8">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068714EB" w:rsidR="004C51E8" w:rsidRPr="00B31E27" w:rsidRDefault="004C51E8" w:rsidP="003124C2">
            <w:pPr>
              <w:widowControl/>
              <w:spacing w:before="80" w:after="80"/>
              <w:jc w:val="center"/>
              <w:rPr>
                <w:rFonts w:asciiTheme="majorHAnsi" w:eastAsia="Jacques Francois Shadow" w:hAnsiTheme="majorHAnsi" w:cstheme="majorHAnsi"/>
                <w:lang w:bidi="ar-IQ"/>
              </w:rPr>
            </w:pPr>
            <w:r w:rsidRPr="002734A7">
              <w:rPr>
                <w:rFonts w:asciiTheme="majorBidi" w:eastAsia="Jacques Francois Shadow" w:hAnsiTheme="majorBidi" w:cstheme="majorBidi"/>
              </w:rPr>
              <w:t xml:space="preserve"> </w:t>
            </w:r>
            <w:r w:rsidR="003124C2">
              <w:rPr>
                <w:rFonts w:asciiTheme="majorBidi" w:eastAsia="Jacques Francois Shadow" w:hAnsiTheme="majorBidi" w:cstheme="majorBidi"/>
              </w:rPr>
              <w:t>Narmin Mahmoud</w:t>
            </w:r>
          </w:p>
        </w:tc>
      </w:tr>
      <w:tr w:rsidR="004C51E8"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4C51E8" w:rsidRPr="00B31E27" w:rsidRDefault="004C51E8" w:rsidP="004C51E8">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30F4DEE7" w:rsidR="004C51E8" w:rsidRPr="00B31E27" w:rsidRDefault="003124C2" w:rsidP="004C51E8">
            <w:pPr>
              <w:widowControl/>
              <w:spacing w:before="80" w:after="80"/>
              <w:jc w:val="center"/>
              <w:rPr>
                <w:rFonts w:asciiTheme="majorHAnsi" w:eastAsia="Jacques Francois Shadow" w:hAnsiTheme="majorHAnsi" w:cstheme="majorHAnsi"/>
              </w:rPr>
            </w:pPr>
            <w:r>
              <w:rPr>
                <w:rFonts w:ascii="Jacques Francois Shadow" w:eastAsia="Jacques Francois Shadow" w:hAnsi="Jacques Francois Shadow" w:cs="Jacques Francois Shadow"/>
                <w:b/>
              </w:rPr>
              <w:t>Narmin.Ismail</w:t>
            </w:r>
            <w:r w:rsidR="004C51E8">
              <w:rPr>
                <w:rFonts w:ascii="Jacques Francois Shadow" w:eastAsia="Jacques Francois Shadow" w:hAnsi="Jacques Francois Shadow" w:cs="Jacques Francois Shadow"/>
                <w:b/>
              </w:rPr>
              <w:t>@noble.edu.krd</w:t>
            </w:r>
          </w:p>
        </w:tc>
      </w:tr>
      <w:tr w:rsidR="003C733C"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3C733C" w:rsidRPr="00B31E27" w:rsidRDefault="003C733C"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568911AE" w:rsidR="003C733C" w:rsidRPr="00B31E27" w:rsidRDefault="004C51E8" w:rsidP="00C470DB">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 xml:space="preserve">Assistant Lecture </w:t>
            </w:r>
          </w:p>
        </w:tc>
      </w:tr>
      <w:tr w:rsidR="004C51E8"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4C51E8" w:rsidRPr="00B31E27" w:rsidRDefault="004C51E8" w:rsidP="004C51E8">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6570162B" w:rsidR="004C51E8" w:rsidRPr="00B31E27" w:rsidRDefault="003124C2" w:rsidP="003124C2">
            <w:pPr>
              <w:widowControl/>
              <w:spacing w:before="80" w:after="80"/>
              <w:jc w:val="center"/>
              <w:rPr>
                <w:rFonts w:asciiTheme="majorHAnsi" w:eastAsia="Jacques Francois Shadow" w:hAnsiTheme="majorHAnsi" w:cstheme="majorHAnsi"/>
              </w:rPr>
            </w:pPr>
            <w:r w:rsidRPr="003124C2">
              <w:t>https://orcid.org/0000-0003-3174-1066</w:t>
            </w:r>
          </w:p>
        </w:tc>
      </w:tr>
      <w:tr w:rsidR="004C51E8" w:rsidRPr="00B31E27" w14:paraId="37ED301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4C51E8" w:rsidRPr="00B31E27" w:rsidRDefault="004C51E8" w:rsidP="004C51E8">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09AE045E" w:rsidR="004C51E8" w:rsidRPr="00B31E27" w:rsidRDefault="003124C2" w:rsidP="004C51E8">
            <w:pPr>
              <w:widowControl/>
              <w:spacing w:before="80" w:after="80"/>
              <w:jc w:val="center"/>
              <w:rPr>
                <w:rFonts w:asciiTheme="majorHAnsi" w:eastAsia="Jacques Francois Shadow" w:hAnsiTheme="majorHAnsi" w:cstheme="majorHAnsi"/>
              </w:rPr>
            </w:pPr>
            <w:r>
              <w:rPr>
                <w:rFonts w:ascii="Arial" w:hAnsi="Arial" w:cs="Arial"/>
                <w:color w:val="777777"/>
                <w:sz w:val="20"/>
                <w:szCs w:val="20"/>
                <w:shd w:val="clear" w:color="auto" w:fill="FFFFFF"/>
              </w:rPr>
              <w:t>Narmin.kurdneth</w:t>
            </w:r>
            <w:r w:rsidR="004C51E8">
              <w:rPr>
                <w:rFonts w:ascii="Arial" w:hAnsi="Arial" w:cs="Arial"/>
                <w:color w:val="777777"/>
                <w:sz w:val="20"/>
                <w:szCs w:val="20"/>
                <w:shd w:val="clear" w:color="auto" w:fill="FFFFFF"/>
              </w:rPr>
              <w:t>@gmail.com</w:t>
            </w:r>
          </w:p>
        </w:tc>
      </w:tr>
    </w:tbl>
    <w:tbl>
      <w:tblPr>
        <w:tblStyle w:val="a0"/>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93055A" w:rsidRPr="00B31E27" w14:paraId="674F660D" w14:textId="7777777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62C98064" w14:textId="77777777"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14:paraId="244900BE" w14:textId="77777777" w:rsidTr="00956238">
        <w:trPr>
          <w:gridAfter w:val="1"/>
          <w:wAfter w:w="8" w:type="dxa"/>
          <w:trHeight w:val="88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121981" w14:textId="43D309FC" w:rsidR="0093055A" w:rsidRPr="00B31E27" w:rsidRDefault="0093055A" w:rsidP="00A5001F">
            <w:pPr>
              <w:widowControl/>
              <w:pBdr>
                <w:top w:val="nil"/>
                <w:left w:val="nil"/>
                <w:bottom w:val="nil"/>
                <w:right w:val="nil"/>
                <w:between w:val="nil"/>
              </w:pBdr>
              <w:spacing w:line="276" w:lineRule="auto"/>
              <w:rPr>
                <w:rFonts w:asciiTheme="majorHAnsi" w:eastAsia="Cambria" w:hAnsiTheme="majorHAnsi" w:cstheme="majorHAnsi"/>
                <w:color w:val="999999"/>
              </w:rPr>
            </w:pPr>
          </w:p>
          <w:p w14:paraId="43DA2EFA" w14:textId="7F66266D" w:rsidR="0093055A" w:rsidRPr="00B31E27" w:rsidRDefault="00A5001F" w:rsidP="00A5001F">
            <w:pPr>
              <w:widowControl/>
              <w:pBdr>
                <w:top w:val="nil"/>
                <w:left w:val="nil"/>
                <w:bottom w:val="nil"/>
                <w:right w:val="nil"/>
                <w:between w:val="nil"/>
              </w:pBdr>
              <w:spacing w:line="276" w:lineRule="auto"/>
              <w:rPr>
                <w:rFonts w:asciiTheme="majorHAnsi" w:eastAsia="Cambria" w:hAnsiTheme="majorHAnsi" w:cstheme="majorHAnsi"/>
                <w:color w:val="999999"/>
              </w:rPr>
            </w:pPr>
            <w:r>
              <w:rPr>
                <w:rFonts w:asciiTheme="majorHAnsi" w:eastAsia="Cambria" w:hAnsiTheme="majorHAnsi" w:cstheme="majorHAnsi"/>
                <w:color w:val="999999"/>
              </w:rPr>
              <w:t xml:space="preserve">None </w:t>
            </w:r>
          </w:p>
        </w:tc>
      </w:tr>
      <w:tr w:rsidR="0093055A" w:rsidRPr="00B31E27" w14:paraId="7A71DF33" w14:textId="7777777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93055A" w:rsidRPr="00B31E27" w14:paraId="210CFC50"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93055A" w:rsidRPr="00B31E27" w:rsidRDefault="0093055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7DBC4" w14:textId="0D7AF214" w:rsidR="0093055A" w:rsidRPr="00B31E27" w:rsidRDefault="0093055A" w:rsidP="00A50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rPr>
            </w:pPr>
          </w:p>
          <w:p w14:paraId="328A2057" w14:textId="77777777" w:rsidR="00D05C2C" w:rsidRPr="00D05C2C" w:rsidRDefault="00D05C2C" w:rsidP="00D05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rPr>
            </w:pPr>
            <w:r w:rsidRPr="00D05C2C">
              <w:rPr>
                <w:rFonts w:asciiTheme="majorHAnsi" w:hAnsiTheme="majorHAnsi" w:cstheme="majorHAnsi"/>
              </w:rPr>
              <w:t xml:space="preserve">Pharmacology is the study of drugs and their origin, nature, properties, and effects on the human body. For this reason, the study of pharmacology is important for all pursuing a healthcare-related field, especially for nursing. Pharmacology helps nurse to be well rounded and provides a source of practical knowledge for daily work in the healthcare setting. Pharmacology is more than ‘passing a pill’. You are going to learn about medications’ action, classification, dosages, nursing implications, side effects, and more. Once you learn some basic pharmacology principles, you will recognize the ability of medications to cure a disease or improve the quality of life for your patient. Learning about medications and the nursing process will help you to become a much safer nurse when it comes to administering medications. </w:t>
            </w:r>
          </w:p>
          <w:p w14:paraId="708DF531" w14:textId="77777777"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215D3A65" w14:textId="77777777"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14:paraId="2E2D75CD" w14:textId="1A53F150" w:rsidR="00DD10C5" w:rsidRPr="00B31E27" w:rsidRDefault="00DD10C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r>
      <w:tr w:rsidR="00A5001F" w:rsidRPr="00B31E27" w14:paraId="68F0EDE9" w14:textId="77777777" w:rsidTr="00D659D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A5001F" w:rsidRPr="00B31E27" w:rsidRDefault="00A5001F" w:rsidP="00A5001F">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9CA41" w14:textId="43FD7C9C" w:rsidR="00A5001F" w:rsidRPr="00B31E27" w:rsidRDefault="00D05C2C" w:rsidP="00D05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sidRPr="00D05C2C">
              <w:rPr>
                <w:rFonts w:asciiTheme="majorBidi" w:hAnsiTheme="majorBidi" w:cstheme="majorBidi"/>
                <w:szCs w:val="22"/>
              </w:rPr>
              <w:t>Pharmacology helps students to be well rounded and provides a source of practical knowledge for daily work in the healthcare setting</w:t>
            </w:r>
          </w:p>
        </w:tc>
      </w:tr>
      <w:tr w:rsidR="00A5001F" w:rsidRPr="00B31E27" w14:paraId="34787BB7"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A5001F" w:rsidRPr="00B31E27" w:rsidRDefault="00A5001F" w:rsidP="00A5001F">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70C8C" w14:textId="77777777" w:rsidR="00D05C2C" w:rsidRPr="00D05C2C" w:rsidRDefault="00A5001F" w:rsidP="00D05C2C">
            <w:pPr>
              <w:pStyle w:val="TableParagraph"/>
              <w:spacing w:line="360" w:lineRule="auto"/>
              <w:ind w:left="110"/>
              <w:rPr>
                <w:rFonts w:asciiTheme="majorBidi" w:hAnsiTheme="majorBidi" w:cstheme="majorBidi"/>
                <w:color w:val="050505"/>
              </w:rPr>
            </w:pPr>
            <w:r w:rsidRPr="002734A7">
              <w:rPr>
                <w:rFonts w:asciiTheme="majorBidi" w:hAnsiTheme="majorBidi" w:cstheme="majorBidi"/>
                <w:color w:val="050505"/>
                <w:sz w:val="24"/>
                <w:szCs w:val="24"/>
              </w:rPr>
              <w:t xml:space="preserve"> </w:t>
            </w:r>
            <w:r w:rsidR="003124C2" w:rsidRPr="003124C2">
              <w:t xml:space="preserve"> </w:t>
            </w:r>
            <w:r w:rsidR="00D05C2C" w:rsidRPr="00D05C2C">
              <w:rPr>
                <w:rFonts w:asciiTheme="majorBidi" w:hAnsiTheme="majorBidi" w:cstheme="majorBidi"/>
                <w:color w:val="050505"/>
              </w:rPr>
              <w:t>Upon successful completion of this course, students will be able to:</w:t>
            </w:r>
          </w:p>
          <w:p w14:paraId="7DB92F0C"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Have a comprehensive knowledge of all the basic principles in Pharmacology</w:t>
            </w:r>
          </w:p>
          <w:p w14:paraId="444ED78B"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 xml:space="preserve"> Understand and classify drugs according to their group, mechanism of action and therapeutic uses. </w:t>
            </w:r>
          </w:p>
          <w:p w14:paraId="1FAFD6D3"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 xml:space="preserve">  Field of medicine that specializes in the study of drugs, their sources, appearance, chemistry, actions, and uses. </w:t>
            </w:r>
          </w:p>
          <w:p w14:paraId="37D122A3"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 xml:space="preserve"> The requirements drugs as therapy, applying and selecting medication to </w:t>
            </w:r>
            <w:r w:rsidRPr="00D05C2C">
              <w:rPr>
                <w:rFonts w:asciiTheme="majorBidi" w:hAnsiTheme="majorBidi" w:cstheme="majorBidi"/>
                <w:color w:val="050505"/>
              </w:rPr>
              <w:lastRenderedPageBreak/>
              <w:t>specific disease.</w:t>
            </w:r>
          </w:p>
          <w:p w14:paraId="6D2A93B7"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 xml:space="preserve"> Rationale usage of medicinal drugs as their group family of drugs, their doses and dosage forms, drug-drug interactions, and drug-food interactions. </w:t>
            </w:r>
          </w:p>
          <w:p w14:paraId="1571BEC8" w14:textId="77777777" w:rsidR="00D05C2C" w:rsidRPr="00D05C2C" w:rsidRDefault="00D05C2C" w:rsidP="00D05C2C">
            <w:pPr>
              <w:pStyle w:val="TableParagraph"/>
              <w:numPr>
                <w:ilvl w:val="0"/>
                <w:numId w:val="37"/>
              </w:numPr>
              <w:spacing w:line="360" w:lineRule="auto"/>
              <w:rPr>
                <w:rFonts w:asciiTheme="majorBidi" w:hAnsiTheme="majorBidi" w:cstheme="majorBidi"/>
                <w:color w:val="050505"/>
              </w:rPr>
            </w:pPr>
            <w:r w:rsidRPr="00D05C2C">
              <w:rPr>
                <w:rFonts w:asciiTheme="majorBidi" w:hAnsiTheme="majorBidi" w:cstheme="majorBidi"/>
                <w:color w:val="050505"/>
              </w:rPr>
              <w:t xml:space="preserve"> Identification of action and potential harmful effects of medications and chemical compounds to humans, and to provide for their prevention and treatments.</w:t>
            </w:r>
          </w:p>
          <w:p w14:paraId="3AA37949" w14:textId="39DDCBAB" w:rsidR="003124C2" w:rsidRPr="003124C2" w:rsidRDefault="00D05C2C" w:rsidP="00D05C2C">
            <w:pPr>
              <w:pStyle w:val="TableParagraph"/>
              <w:numPr>
                <w:ilvl w:val="0"/>
                <w:numId w:val="37"/>
              </w:numPr>
              <w:spacing w:line="360" w:lineRule="auto"/>
              <w:rPr>
                <w:rFonts w:asciiTheme="majorBidi" w:hAnsiTheme="majorBidi" w:cstheme="majorBidi"/>
                <w:color w:val="050505"/>
                <w:sz w:val="24"/>
                <w:szCs w:val="24"/>
              </w:rPr>
            </w:pPr>
            <w:r w:rsidRPr="00D05C2C">
              <w:rPr>
                <w:rFonts w:asciiTheme="majorBidi" w:hAnsiTheme="majorBidi" w:cstheme="majorBidi"/>
                <w:color w:val="050505"/>
                <w:sz w:val="24"/>
                <w:szCs w:val="24"/>
              </w:rPr>
              <w:t xml:space="preserve"> Pharmacodynamics – Study of how drugs interact in the human body</w:t>
            </w:r>
          </w:p>
          <w:p w14:paraId="602F5DBD" w14:textId="239A36CF" w:rsidR="003124C2" w:rsidRPr="00B31E27" w:rsidRDefault="003124C2" w:rsidP="003124C2">
            <w:pPr>
              <w:pStyle w:val="TableParagraph"/>
              <w:spacing w:line="360" w:lineRule="auto"/>
              <w:ind w:left="110"/>
              <w:rPr>
                <w:rFonts w:asciiTheme="majorHAnsi" w:hAnsiTheme="majorHAnsi" w:cstheme="majorHAnsi"/>
              </w:rPr>
            </w:pPr>
          </w:p>
          <w:p w14:paraId="2E6359CB" w14:textId="44143FC4" w:rsidR="00A5001F" w:rsidRPr="00B31E27" w:rsidRDefault="00A5001F" w:rsidP="00A5001F">
            <w:pPr>
              <w:pStyle w:val="NoSpacing"/>
              <w:widowControl/>
              <w:spacing w:line="276" w:lineRule="auto"/>
              <w:jc w:val="center"/>
              <w:rPr>
                <w:rFonts w:asciiTheme="majorHAnsi" w:hAnsiTheme="majorHAnsi" w:cstheme="majorHAnsi"/>
              </w:rPr>
            </w:pPr>
          </w:p>
        </w:tc>
      </w:tr>
      <w:tr w:rsidR="00A5001F" w:rsidRPr="00B31E27" w14:paraId="5D3E3FB1" w14:textId="7777777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A5001F" w:rsidRPr="00B31E27" w:rsidRDefault="00A5001F" w:rsidP="00A5001F">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A5001F" w:rsidRPr="00B31E27" w14:paraId="63549922" w14:textId="7777777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A5001F" w:rsidRPr="00B31E27" w:rsidRDefault="00A5001F" w:rsidP="00A5001F">
            <w:pPr>
              <w:widowControl/>
              <w:pBdr>
                <w:top w:val="nil"/>
                <w:left w:val="nil"/>
                <w:bottom w:val="nil"/>
                <w:right w:val="nil"/>
                <w:between w:val="nil"/>
              </w:pBdr>
              <w:shd w:val="clear" w:color="auto" w:fill="DBE5F1" w:themeFill="accent1" w:themeFillTint="33"/>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24121" w14:textId="3535797E" w:rsidR="00A5001F" w:rsidRPr="00B31E27" w:rsidRDefault="00D05C2C" w:rsidP="00D05C2C">
            <w:pPr>
              <w:spacing w:line="276" w:lineRule="auto"/>
              <w:jc w:val="center"/>
              <w:rPr>
                <w:rFonts w:asciiTheme="majorHAnsi" w:hAnsiTheme="majorHAnsi" w:cstheme="majorHAnsi"/>
                <w:lang w:bidi="ar-IQ"/>
              </w:rPr>
            </w:pPr>
            <w:r w:rsidRPr="00D05C2C">
              <w:rPr>
                <w:rFonts w:asciiTheme="majorHAnsi" w:hAnsiTheme="majorHAnsi" w:cstheme="majorHAnsi"/>
                <w:lang w:bidi="ar-IQ"/>
              </w:rPr>
              <w:t>The teaching consists of Lectures, discussion groups, tutorials, problem solving and seminars. The instructions are partially or completely in English. Emphasis is placed on the student's ability to collect and process material as well as the student's ability to write and make oral presentation on the efficacy and safety of pharmaceutical drugs.</w:t>
            </w:r>
          </w:p>
          <w:p w14:paraId="25E98C6C" w14:textId="77777777" w:rsidR="00A5001F" w:rsidRPr="00B31E27" w:rsidRDefault="00A5001F" w:rsidP="00A5001F">
            <w:pPr>
              <w:spacing w:line="276" w:lineRule="auto"/>
              <w:jc w:val="center"/>
              <w:rPr>
                <w:rFonts w:asciiTheme="majorHAnsi" w:hAnsiTheme="majorHAnsi" w:cstheme="majorHAnsi"/>
                <w:lang w:bidi="ar-IQ"/>
              </w:rPr>
            </w:pPr>
          </w:p>
          <w:p w14:paraId="0BBCC169" w14:textId="5F0D90E1" w:rsidR="00A5001F" w:rsidRPr="00B31E27" w:rsidRDefault="00A5001F" w:rsidP="003124C2">
            <w:pPr>
              <w:pStyle w:val="ListParagraph"/>
              <w:spacing w:line="276" w:lineRule="auto"/>
              <w:rPr>
                <w:rFonts w:asciiTheme="majorHAnsi" w:hAnsiTheme="majorHAnsi" w:cstheme="majorHAnsi"/>
                <w:lang w:bidi="ar-IQ"/>
              </w:rPr>
            </w:pPr>
          </w:p>
        </w:tc>
      </w:tr>
    </w:tbl>
    <w:p w14:paraId="02B6E286" w14:textId="77777777" w:rsidR="002B3C0D" w:rsidRPr="00B31E27" w:rsidRDefault="002B3C0D" w:rsidP="002B3C0D">
      <w:pPr>
        <w:widowControl/>
        <w:pBdr>
          <w:top w:val="nil"/>
          <w:left w:val="nil"/>
          <w:bottom w:val="nil"/>
          <w:right w:val="nil"/>
          <w:between w:val="nil"/>
        </w:pBdr>
        <w:spacing w:after="200" w:line="276" w:lineRule="auto"/>
        <w:ind w:left="-540"/>
        <w:rPr>
          <w:rFonts w:asciiTheme="majorHAnsi" w:hAnsiTheme="majorHAnsi" w:cstheme="majorHAnsi"/>
          <w:b/>
          <w:bCs/>
          <w:color w:val="222222"/>
          <w:shd w:val="clear" w:color="auto" w:fill="FFFFFF"/>
        </w:rPr>
      </w:pPr>
    </w:p>
    <w:tbl>
      <w:tblPr>
        <w:tblStyle w:val="TableGrid"/>
        <w:tblW w:w="10345" w:type="dxa"/>
        <w:tblInd w:w="-540" w:type="dxa"/>
        <w:tblLook w:val="04A0" w:firstRow="1" w:lastRow="0" w:firstColumn="1" w:lastColumn="0" w:noHBand="0" w:noVBand="1"/>
      </w:tblPr>
      <w:tblGrid>
        <w:gridCol w:w="10345"/>
      </w:tblGrid>
      <w:tr w:rsidR="00956238" w:rsidRPr="00B31E27" w14:paraId="321093FA" w14:textId="77777777" w:rsidTr="00956238">
        <w:tc>
          <w:tcPr>
            <w:tcW w:w="10345"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956238">
        <w:tc>
          <w:tcPr>
            <w:tcW w:w="10345" w:type="dxa"/>
          </w:tcPr>
          <w:p w14:paraId="1A7899AC" w14:textId="77777777" w:rsidR="00956238" w:rsidRPr="00B31E27" w:rsidRDefault="00956238"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66C5F447" w14:textId="77777777" w:rsidR="00D05C2C" w:rsidRPr="00D05C2C" w:rsidRDefault="00D05C2C"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r w:rsidRPr="00D05C2C">
              <w:rPr>
                <w:rFonts w:asciiTheme="majorHAnsi" w:hAnsiTheme="majorHAnsi" w:cstheme="majorHAnsi"/>
                <w:b/>
                <w:bCs/>
                <w:i/>
                <w:iCs/>
                <w:color w:val="222222"/>
                <w:shd w:val="clear" w:color="auto" w:fill="FFFFFF"/>
              </w:rPr>
              <w:t>Drug delivery systems: An updated review</w:t>
            </w:r>
          </w:p>
          <w:p w14:paraId="5339315E" w14:textId="77777777" w:rsidR="00D05C2C" w:rsidRPr="00D05C2C" w:rsidRDefault="00D205A9"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hyperlink r:id="rId9" w:history="1">
              <w:r w:rsidR="00D05C2C" w:rsidRPr="00D05C2C">
                <w:rPr>
                  <w:rStyle w:val="Hyperlink"/>
                  <w:rFonts w:asciiTheme="majorHAnsi" w:hAnsiTheme="majorHAnsi" w:cstheme="majorHAnsi"/>
                  <w:b/>
                  <w:bCs/>
                  <w:i/>
                  <w:iCs/>
                  <w:shd w:val="clear" w:color="auto" w:fill="FFFFFF"/>
                </w:rPr>
                <w:t>Gaurav Tiwari</w:t>
              </w:r>
            </w:hyperlink>
            <w:r w:rsidR="00D05C2C" w:rsidRPr="00D05C2C">
              <w:rPr>
                <w:rFonts w:asciiTheme="majorHAnsi" w:hAnsiTheme="majorHAnsi" w:cstheme="majorHAnsi"/>
                <w:b/>
                <w:bCs/>
                <w:i/>
                <w:iCs/>
                <w:color w:val="222222"/>
                <w:shd w:val="clear" w:color="auto" w:fill="FFFFFF"/>
              </w:rPr>
              <w:t>, </w:t>
            </w:r>
            <w:hyperlink r:id="rId10" w:history="1">
              <w:r w:rsidR="00D05C2C" w:rsidRPr="00D05C2C">
                <w:rPr>
                  <w:rStyle w:val="Hyperlink"/>
                  <w:rFonts w:asciiTheme="majorHAnsi" w:hAnsiTheme="majorHAnsi" w:cstheme="majorHAnsi"/>
                  <w:b/>
                  <w:bCs/>
                  <w:i/>
                  <w:iCs/>
                  <w:shd w:val="clear" w:color="auto" w:fill="FFFFFF"/>
                </w:rPr>
                <w:t>Ruchi Tiwari</w:t>
              </w:r>
            </w:hyperlink>
            <w:r w:rsidR="00D05C2C" w:rsidRPr="00D05C2C">
              <w:rPr>
                <w:rFonts w:asciiTheme="majorHAnsi" w:hAnsiTheme="majorHAnsi" w:cstheme="majorHAnsi"/>
                <w:b/>
                <w:bCs/>
                <w:i/>
                <w:iCs/>
                <w:color w:val="222222"/>
                <w:shd w:val="clear" w:color="auto" w:fill="FFFFFF"/>
              </w:rPr>
              <w:t>, </w:t>
            </w:r>
            <w:hyperlink r:id="rId11" w:history="1">
              <w:r w:rsidR="00D05C2C" w:rsidRPr="00D05C2C">
                <w:rPr>
                  <w:rStyle w:val="Hyperlink"/>
                  <w:rFonts w:asciiTheme="majorHAnsi" w:hAnsiTheme="majorHAnsi" w:cstheme="majorHAnsi"/>
                  <w:b/>
                  <w:bCs/>
                  <w:i/>
                  <w:iCs/>
                  <w:shd w:val="clear" w:color="auto" w:fill="FFFFFF"/>
                </w:rPr>
                <w:t>Birendra Sriwastawa</w:t>
              </w:r>
            </w:hyperlink>
            <w:r w:rsidR="00D05C2C" w:rsidRPr="00D05C2C">
              <w:rPr>
                <w:rFonts w:asciiTheme="majorHAnsi" w:hAnsiTheme="majorHAnsi" w:cstheme="majorHAnsi"/>
                <w:b/>
                <w:bCs/>
                <w:i/>
                <w:iCs/>
                <w:color w:val="222222"/>
                <w:shd w:val="clear" w:color="auto" w:fill="FFFFFF"/>
              </w:rPr>
              <w:t>,</w:t>
            </w:r>
            <w:r w:rsidR="00D05C2C" w:rsidRPr="00D05C2C">
              <w:rPr>
                <w:rFonts w:asciiTheme="majorHAnsi" w:hAnsiTheme="majorHAnsi" w:cstheme="majorHAnsi"/>
                <w:b/>
                <w:bCs/>
                <w:i/>
                <w:iCs/>
                <w:color w:val="222222"/>
                <w:shd w:val="clear" w:color="auto" w:fill="FFFFFF"/>
                <w:vertAlign w:val="superscript"/>
              </w:rPr>
              <w:t>1</w:t>
            </w:r>
            <w:r w:rsidR="00D05C2C" w:rsidRPr="00D05C2C">
              <w:rPr>
                <w:rFonts w:asciiTheme="majorHAnsi" w:hAnsiTheme="majorHAnsi" w:cstheme="majorHAnsi"/>
                <w:b/>
                <w:bCs/>
                <w:i/>
                <w:iCs/>
                <w:color w:val="222222"/>
                <w:shd w:val="clear" w:color="auto" w:fill="FFFFFF"/>
              </w:rPr>
              <w:t> </w:t>
            </w:r>
            <w:hyperlink r:id="rId12" w:history="1">
              <w:r w:rsidR="00D05C2C" w:rsidRPr="00D05C2C">
                <w:rPr>
                  <w:rStyle w:val="Hyperlink"/>
                  <w:rFonts w:asciiTheme="majorHAnsi" w:hAnsiTheme="majorHAnsi" w:cstheme="majorHAnsi"/>
                  <w:b/>
                  <w:bCs/>
                  <w:i/>
                  <w:iCs/>
                  <w:shd w:val="clear" w:color="auto" w:fill="FFFFFF"/>
                </w:rPr>
                <w:t>L Bhati</w:t>
              </w:r>
            </w:hyperlink>
            <w:r w:rsidR="00D05C2C" w:rsidRPr="00D05C2C">
              <w:rPr>
                <w:rFonts w:asciiTheme="majorHAnsi" w:hAnsiTheme="majorHAnsi" w:cstheme="majorHAnsi"/>
                <w:b/>
                <w:bCs/>
                <w:i/>
                <w:iCs/>
                <w:color w:val="222222"/>
                <w:shd w:val="clear" w:color="auto" w:fill="FFFFFF"/>
              </w:rPr>
              <w:t>,</w:t>
            </w:r>
            <w:r w:rsidR="00D05C2C" w:rsidRPr="00D05C2C">
              <w:rPr>
                <w:rFonts w:asciiTheme="majorHAnsi" w:hAnsiTheme="majorHAnsi" w:cstheme="majorHAnsi"/>
                <w:b/>
                <w:bCs/>
                <w:i/>
                <w:iCs/>
                <w:color w:val="222222"/>
                <w:shd w:val="clear" w:color="auto" w:fill="FFFFFF"/>
                <w:vertAlign w:val="superscript"/>
              </w:rPr>
              <w:t>2</w:t>
            </w:r>
            <w:r w:rsidR="00D05C2C" w:rsidRPr="00D05C2C">
              <w:rPr>
                <w:rFonts w:asciiTheme="majorHAnsi" w:hAnsiTheme="majorHAnsi" w:cstheme="majorHAnsi"/>
                <w:b/>
                <w:bCs/>
                <w:i/>
                <w:iCs/>
                <w:color w:val="222222"/>
                <w:shd w:val="clear" w:color="auto" w:fill="FFFFFF"/>
              </w:rPr>
              <w:t> </w:t>
            </w:r>
            <w:hyperlink r:id="rId13" w:history="1">
              <w:r w:rsidR="00D05C2C" w:rsidRPr="00D05C2C">
                <w:rPr>
                  <w:rStyle w:val="Hyperlink"/>
                  <w:rFonts w:asciiTheme="majorHAnsi" w:hAnsiTheme="majorHAnsi" w:cstheme="majorHAnsi"/>
                  <w:b/>
                  <w:bCs/>
                  <w:i/>
                  <w:iCs/>
                  <w:shd w:val="clear" w:color="auto" w:fill="FFFFFF"/>
                </w:rPr>
                <w:t>S Pandey</w:t>
              </w:r>
            </w:hyperlink>
            <w:r w:rsidR="00D05C2C" w:rsidRPr="00D05C2C">
              <w:rPr>
                <w:rFonts w:asciiTheme="majorHAnsi" w:hAnsiTheme="majorHAnsi" w:cstheme="majorHAnsi"/>
                <w:b/>
                <w:bCs/>
                <w:i/>
                <w:iCs/>
                <w:color w:val="222222"/>
                <w:shd w:val="clear" w:color="auto" w:fill="FFFFFF"/>
              </w:rPr>
              <w:t>, </w:t>
            </w:r>
            <w:hyperlink r:id="rId14" w:history="1">
              <w:r w:rsidR="00D05C2C" w:rsidRPr="00D05C2C">
                <w:rPr>
                  <w:rStyle w:val="Hyperlink"/>
                  <w:rFonts w:asciiTheme="majorHAnsi" w:hAnsiTheme="majorHAnsi" w:cstheme="majorHAnsi"/>
                  <w:b/>
                  <w:bCs/>
                  <w:i/>
                  <w:iCs/>
                  <w:shd w:val="clear" w:color="auto" w:fill="FFFFFF"/>
                </w:rPr>
                <w:t>P Pandey</w:t>
              </w:r>
            </w:hyperlink>
            <w:r w:rsidR="00D05C2C" w:rsidRPr="00D05C2C">
              <w:rPr>
                <w:rFonts w:asciiTheme="majorHAnsi" w:hAnsiTheme="majorHAnsi" w:cstheme="majorHAnsi"/>
                <w:b/>
                <w:bCs/>
                <w:i/>
                <w:iCs/>
                <w:color w:val="222222"/>
                <w:shd w:val="clear" w:color="auto" w:fill="FFFFFF"/>
              </w:rPr>
              <w:t>, and </w:t>
            </w:r>
            <w:hyperlink r:id="rId15" w:history="1">
              <w:r w:rsidR="00D05C2C" w:rsidRPr="00D05C2C">
                <w:rPr>
                  <w:rStyle w:val="Hyperlink"/>
                  <w:rFonts w:asciiTheme="majorHAnsi" w:hAnsiTheme="majorHAnsi" w:cstheme="majorHAnsi"/>
                  <w:b/>
                  <w:bCs/>
                  <w:i/>
                  <w:iCs/>
                  <w:shd w:val="clear" w:color="auto" w:fill="FFFFFF"/>
                </w:rPr>
                <w:t>Saurabh K Bannerjee</w:t>
              </w:r>
            </w:hyperlink>
            <w:r w:rsidR="00D05C2C" w:rsidRPr="00D05C2C">
              <w:rPr>
                <w:rFonts w:asciiTheme="majorHAnsi" w:hAnsiTheme="majorHAnsi" w:cstheme="majorHAnsi"/>
                <w:b/>
                <w:bCs/>
                <w:i/>
                <w:iCs/>
                <w:color w:val="222222"/>
                <w:shd w:val="clear" w:color="auto" w:fill="FFFFFF"/>
                <w:vertAlign w:val="superscript"/>
              </w:rPr>
              <w:t>3</w:t>
            </w:r>
          </w:p>
          <w:p w14:paraId="5427BA5D" w14:textId="77777777" w:rsidR="00D05C2C" w:rsidRPr="00D05C2C" w:rsidRDefault="00D205A9"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hyperlink r:id="rId16" w:history="1">
              <w:r w:rsidR="00D05C2C" w:rsidRPr="00D05C2C">
                <w:rPr>
                  <w:rStyle w:val="Hyperlink"/>
                  <w:rFonts w:asciiTheme="majorHAnsi" w:hAnsiTheme="majorHAnsi" w:cstheme="majorHAnsi"/>
                  <w:b/>
                  <w:bCs/>
                  <w:i/>
                  <w:iCs/>
                  <w:shd w:val="clear" w:color="auto" w:fill="FFFFFF"/>
                </w:rPr>
                <w:t>Author information</w:t>
              </w:r>
            </w:hyperlink>
            <w:r w:rsidR="00D05C2C" w:rsidRPr="00D05C2C">
              <w:rPr>
                <w:rFonts w:asciiTheme="majorHAnsi" w:hAnsiTheme="majorHAnsi" w:cstheme="majorHAnsi"/>
                <w:b/>
                <w:bCs/>
                <w:i/>
                <w:iCs/>
                <w:color w:val="222222"/>
                <w:shd w:val="clear" w:color="auto" w:fill="FFFFFF"/>
              </w:rPr>
              <w:t> </w:t>
            </w:r>
            <w:hyperlink r:id="rId17" w:history="1">
              <w:r w:rsidR="00D05C2C" w:rsidRPr="00D05C2C">
                <w:rPr>
                  <w:rStyle w:val="Hyperlink"/>
                  <w:rFonts w:asciiTheme="majorHAnsi" w:hAnsiTheme="majorHAnsi" w:cstheme="majorHAnsi"/>
                  <w:b/>
                  <w:bCs/>
                  <w:i/>
                  <w:iCs/>
                  <w:shd w:val="clear" w:color="auto" w:fill="FFFFFF"/>
                </w:rPr>
                <w:t>Copyright and License information</w:t>
              </w:r>
            </w:hyperlink>
            <w:r w:rsidR="00D05C2C" w:rsidRPr="00D05C2C">
              <w:rPr>
                <w:rFonts w:asciiTheme="majorHAnsi" w:hAnsiTheme="majorHAnsi" w:cstheme="majorHAnsi"/>
                <w:b/>
                <w:bCs/>
                <w:i/>
                <w:iCs/>
                <w:color w:val="222222"/>
                <w:shd w:val="clear" w:color="auto" w:fill="FFFFFF"/>
              </w:rPr>
              <w:t> </w:t>
            </w:r>
            <w:hyperlink r:id="rId18" w:history="1">
              <w:r w:rsidR="00D05C2C" w:rsidRPr="00D05C2C">
                <w:rPr>
                  <w:rStyle w:val="Hyperlink"/>
                  <w:rFonts w:asciiTheme="majorHAnsi" w:hAnsiTheme="majorHAnsi" w:cstheme="majorHAnsi"/>
                  <w:b/>
                  <w:bCs/>
                  <w:i/>
                  <w:iCs/>
                  <w:shd w:val="clear" w:color="auto" w:fill="FFFFFF"/>
                </w:rPr>
                <w:t>Disclaimer</w:t>
              </w:r>
            </w:hyperlink>
          </w:p>
          <w:p w14:paraId="13256C1D" w14:textId="77777777" w:rsidR="00D05C2C" w:rsidRPr="00D05C2C" w:rsidRDefault="00D05C2C"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r w:rsidRPr="00D05C2C">
              <w:rPr>
                <w:rFonts w:asciiTheme="majorHAnsi" w:hAnsiTheme="majorHAnsi" w:cstheme="majorHAnsi"/>
                <w:b/>
                <w:bCs/>
                <w:i/>
                <w:iCs/>
                <w:color w:val="222222"/>
                <w:shd w:val="clear" w:color="auto" w:fill="FFFFFF"/>
              </w:rPr>
              <w:lastRenderedPageBreak/>
              <w:t>Moghimi SM, Hunter AC, Murray JC. Long-circulating and target-specific nanoparticles: Theory to practice. Pharmacol Rev. 2001;53:283–318. [</w:t>
            </w:r>
            <w:hyperlink r:id="rId19" w:history="1">
              <w:r w:rsidRPr="00D05C2C">
                <w:rPr>
                  <w:rStyle w:val="Hyperlink"/>
                  <w:rFonts w:asciiTheme="majorHAnsi" w:hAnsiTheme="majorHAnsi" w:cstheme="majorHAnsi"/>
                  <w:b/>
                  <w:bCs/>
                  <w:i/>
                  <w:iCs/>
                  <w:shd w:val="clear" w:color="auto" w:fill="FFFFFF"/>
                </w:rPr>
                <w:t>PubMed</w:t>
              </w:r>
            </w:hyperlink>
            <w:r w:rsidRPr="00D05C2C">
              <w:rPr>
                <w:rFonts w:asciiTheme="majorHAnsi" w:hAnsiTheme="majorHAnsi" w:cstheme="majorHAnsi"/>
                <w:b/>
                <w:bCs/>
                <w:i/>
                <w:iCs/>
                <w:color w:val="222222"/>
                <w:shd w:val="clear" w:color="auto" w:fill="FFFFFF"/>
              </w:rPr>
              <w:t>] [</w:t>
            </w:r>
            <w:hyperlink r:id="rId20" w:tgtFrame="_blank" w:history="1">
              <w:r w:rsidRPr="00D05C2C">
                <w:rPr>
                  <w:rStyle w:val="Hyperlink"/>
                  <w:rFonts w:asciiTheme="majorHAnsi" w:hAnsiTheme="majorHAnsi" w:cstheme="majorHAnsi"/>
                  <w:b/>
                  <w:bCs/>
                  <w:i/>
                  <w:iCs/>
                  <w:shd w:val="clear" w:color="auto" w:fill="FFFFFF"/>
                </w:rPr>
                <w:t>Google Scholar</w:t>
              </w:r>
            </w:hyperlink>
            <w:r w:rsidRPr="00D05C2C">
              <w:rPr>
                <w:rFonts w:asciiTheme="majorHAnsi" w:hAnsiTheme="majorHAnsi" w:cstheme="majorHAnsi"/>
                <w:b/>
                <w:bCs/>
                <w:i/>
                <w:iCs/>
                <w:color w:val="222222"/>
                <w:shd w:val="clear" w:color="auto" w:fill="FFFFFF"/>
              </w:rPr>
              <w:t>]</w:t>
            </w:r>
          </w:p>
          <w:p w14:paraId="1DB13E59" w14:textId="77777777" w:rsidR="00D05C2C" w:rsidRPr="00D05C2C" w:rsidRDefault="00D05C2C"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r w:rsidRPr="00D05C2C">
              <w:rPr>
                <w:rFonts w:asciiTheme="majorHAnsi" w:hAnsiTheme="majorHAnsi" w:cstheme="majorHAnsi"/>
                <w:b/>
                <w:bCs/>
                <w:i/>
                <w:iCs/>
                <w:color w:val="222222"/>
                <w:shd w:val="clear" w:color="auto" w:fill="FFFFFF"/>
              </w:rPr>
              <w:t>Moini, J. (2015). The Pharmacy Technician, A Comprehensive Approach, 3rd Edition. Boston, MA: Cengage Learning.</w:t>
            </w:r>
          </w:p>
          <w:p w14:paraId="33B19D72" w14:textId="77777777" w:rsidR="00D05C2C" w:rsidRPr="00D05C2C" w:rsidRDefault="00D05C2C" w:rsidP="00D05C2C">
            <w:pPr>
              <w:widowControl/>
              <w:numPr>
                <w:ilvl w:val="0"/>
                <w:numId w:val="38"/>
              </w:numPr>
              <w:pBdr>
                <w:top w:val="nil"/>
                <w:left w:val="nil"/>
                <w:bottom w:val="nil"/>
                <w:right w:val="nil"/>
                <w:between w:val="nil"/>
              </w:pBdr>
              <w:spacing w:after="200" w:line="276" w:lineRule="auto"/>
              <w:rPr>
                <w:rFonts w:asciiTheme="majorHAnsi" w:hAnsiTheme="majorHAnsi" w:cstheme="majorHAnsi"/>
                <w:b/>
                <w:bCs/>
                <w:i/>
                <w:iCs/>
                <w:color w:val="222222"/>
                <w:shd w:val="clear" w:color="auto" w:fill="FFFFFF"/>
              </w:rPr>
            </w:pPr>
            <w:r w:rsidRPr="00D05C2C">
              <w:rPr>
                <w:rFonts w:asciiTheme="majorHAnsi" w:hAnsiTheme="majorHAnsi" w:cstheme="majorHAnsi"/>
                <w:b/>
                <w:bCs/>
                <w:i/>
                <w:iCs/>
                <w:color w:val="222222"/>
                <w:shd w:val="clear" w:color="auto" w:fill="FFFFFF"/>
              </w:rPr>
              <w:t>Moscou, K &amp; Snipe, K. (2019). Pharmacology for Pharmacy Technicians, 3rd Edition. St. Louis: MO:Elsevier Mosby.</w:t>
            </w:r>
          </w:p>
          <w:p w14:paraId="46DEF5EE" w14:textId="2FD8CFAA" w:rsidR="00B31E27" w:rsidRPr="00D05C2C" w:rsidRDefault="00D05C2C" w:rsidP="00D05C2C">
            <w:pPr>
              <w:pStyle w:val="ListParagraph"/>
              <w:widowControl/>
              <w:numPr>
                <w:ilvl w:val="0"/>
                <w:numId w:val="38"/>
              </w:numPr>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r w:rsidRPr="00D05C2C">
              <w:rPr>
                <w:rFonts w:asciiTheme="majorHAnsi" w:hAnsiTheme="majorHAnsi" w:cstheme="majorHAnsi"/>
                <w:b/>
                <w:bCs/>
                <w:i/>
                <w:iCs/>
                <w:color w:val="222222"/>
                <w:shd w:val="clear" w:color="auto" w:fill="FFFFFF"/>
              </w:rPr>
              <w:t>Moscou, K &amp; Snipe, K. (2019). Workbook - Pharmacology for Pharmacy Technicians, 3rd Edition.St. Louis: MO: Elsevier Mosby</w:t>
            </w:r>
          </w:p>
          <w:p w14:paraId="7F28FB77" w14:textId="77777777"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186462A9" w14:textId="6EB3B4B8"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c>
      </w:tr>
    </w:tbl>
    <w:p w14:paraId="0E4181C6" w14:textId="021C37EA" w:rsidR="0093055A" w:rsidRPr="00B31E27" w:rsidRDefault="0093055A" w:rsidP="00B31E27">
      <w:pPr>
        <w:widowControl/>
        <w:pBdr>
          <w:top w:val="nil"/>
          <w:left w:val="nil"/>
          <w:bottom w:val="nil"/>
          <w:right w:val="nil"/>
          <w:between w:val="nil"/>
        </w:pBdr>
        <w:spacing w:after="200" w:line="276" w:lineRule="auto"/>
        <w:rPr>
          <w:rFonts w:asciiTheme="majorHAnsi" w:eastAsia="Cambria" w:hAnsiTheme="majorHAnsi" w:cstheme="majorHAnsi"/>
          <w:b/>
          <w:color w:val="000000"/>
        </w:rPr>
      </w:pPr>
    </w:p>
    <w:p w14:paraId="0F99BB37" w14:textId="17AFF118"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p w14:paraId="53C0F478" w14:textId="77777777"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tbl>
      <w:tblPr>
        <w:tblStyle w:val="a1"/>
        <w:tblW w:w="10266" w:type="dxa"/>
        <w:tblInd w:w="-461" w:type="dxa"/>
        <w:tblLayout w:type="fixed"/>
        <w:tblLook w:val="0000" w:firstRow="0" w:lastRow="0" w:firstColumn="0" w:lastColumn="0" w:noHBand="0" w:noVBand="0"/>
      </w:tblPr>
      <w:tblGrid>
        <w:gridCol w:w="4506"/>
        <w:gridCol w:w="5760"/>
      </w:tblGrid>
      <w:tr w:rsidR="001B5146" w:rsidRPr="00B31E27" w14:paraId="2F177AF3" w14:textId="7777777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57368ABC"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C73639" w:rsidRPr="00B31E27" w14:paraId="635EE628" w14:textId="7777777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149C8981" w:rsidR="00C73639" w:rsidRPr="00B31E27" w:rsidRDefault="00C73639"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w:t>
            </w:r>
            <w:r w:rsidR="008A184D" w:rsidRPr="00B31E27">
              <w:rPr>
                <w:rFonts w:asciiTheme="majorHAnsi" w:hAnsiTheme="majorHAnsi" w:cstheme="majorHAnsi"/>
                <w:b/>
                <w:bCs/>
              </w:rPr>
              <w:t>Theoretical H</w:t>
            </w:r>
            <w:r w:rsidRPr="00B31E27">
              <w:rPr>
                <w:rFonts w:asciiTheme="majorHAnsi" w:hAnsiTheme="majorHAnsi" w:cstheme="majorHAnsi"/>
                <w:b/>
                <w:bCs/>
              </w:rPr>
              <w:t xml:space="preserve">ours </w:t>
            </w:r>
            <w:r w:rsidR="008A184D" w:rsidRPr="00B31E27">
              <w:rPr>
                <w:rFonts w:asciiTheme="majorHAnsi" w:hAnsiTheme="majorHAnsi" w:cstheme="majorHAnsi"/>
                <w:b/>
                <w:bCs/>
              </w:rPr>
              <w:t>–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41BDE" w14:textId="77777777"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p>
          <w:p w14:paraId="29C0C554" w14:textId="2FA05219" w:rsidR="00C73639" w:rsidRPr="00B31E27" w:rsidRDefault="003124C2"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2</w:t>
            </w:r>
          </w:p>
        </w:tc>
      </w:tr>
      <w:tr w:rsidR="008A184D" w:rsidRPr="00B31E27" w14:paraId="541C8EED" w14:textId="7777777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0771564B" w:rsidR="008A184D" w:rsidRPr="00B31E27" w:rsidRDefault="008A184D"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83A71" w14:textId="77777777" w:rsidR="008A184D" w:rsidRPr="00B31E27" w:rsidRDefault="008A184D" w:rsidP="008A184D">
            <w:pPr>
              <w:widowControl/>
              <w:spacing w:line="276" w:lineRule="auto"/>
              <w:jc w:val="center"/>
              <w:rPr>
                <w:rFonts w:asciiTheme="majorHAnsi" w:eastAsia="Cambria" w:hAnsiTheme="majorHAnsi" w:cstheme="majorHAnsi"/>
              </w:rPr>
            </w:pPr>
          </w:p>
          <w:p w14:paraId="6D32E232" w14:textId="61483340" w:rsidR="008A184D" w:rsidRPr="00B31E27" w:rsidRDefault="003124C2" w:rsidP="008A184D">
            <w:pPr>
              <w:widowControl/>
              <w:spacing w:line="276" w:lineRule="auto"/>
              <w:jc w:val="center"/>
              <w:rPr>
                <w:rFonts w:asciiTheme="majorHAnsi" w:eastAsia="Cambria" w:hAnsiTheme="majorHAnsi" w:cstheme="majorHAnsi"/>
              </w:rPr>
            </w:pPr>
            <w:r>
              <w:rPr>
                <w:rFonts w:asciiTheme="majorHAnsi" w:eastAsia="Cambria" w:hAnsiTheme="majorHAnsi" w:cstheme="majorHAnsi"/>
              </w:rPr>
              <w:t>NA</w:t>
            </w:r>
          </w:p>
        </w:tc>
      </w:tr>
    </w:tbl>
    <w:p w14:paraId="23FE375D" w14:textId="6F9C808F" w:rsidR="008D53FC" w:rsidRPr="00B31E27" w:rsidRDefault="008D53FC" w:rsidP="006A0C72">
      <w:pPr>
        <w:widowControl/>
        <w:pBdr>
          <w:top w:val="nil"/>
          <w:left w:val="nil"/>
          <w:bottom w:val="nil"/>
          <w:right w:val="nil"/>
          <w:between w:val="nil"/>
        </w:pBdr>
        <w:spacing w:line="276" w:lineRule="auto"/>
        <w:rPr>
          <w:rFonts w:asciiTheme="majorHAnsi" w:eastAsia="Cambria" w:hAnsiTheme="majorHAnsi" w:cstheme="majorHAnsi"/>
          <w:b/>
        </w:rPr>
      </w:pPr>
    </w:p>
    <w:p w14:paraId="61FCE588" w14:textId="2B4DF855" w:rsid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14:paraId="693C9FF4" w14:textId="46C538A6"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171B100C" w14:textId="5CD92E6C"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12D6C658" w14:textId="454194EB"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7FFAC3C0" w14:textId="797134A8"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06FE04A6" w14:textId="45AF43B9"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6FC5E7F2" w14:textId="4D90F9A1" w:rsidR="00D05C2C"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4DC562F7" w14:textId="77777777" w:rsidR="00D05C2C" w:rsidRPr="00B31E27" w:rsidRDefault="00D05C2C" w:rsidP="006A0C72">
      <w:pPr>
        <w:widowControl/>
        <w:pBdr>
          <w:top w:val="nil"/>
          <w:left w:val="nil"/>
          <w:bottom w:val="nil"/>
          <w:right w:val="nil"/>
          <w:between w:val="nil"/>
        </w:pBdr>
        <w:spacing w:line="276" w:lineRule="auto"/>
        <w:rPr>
          <w:rFonts w:asciiTheme="majorHAnsi" w:eastAsia="Cambria" w:hAnsiTheme="majorHAnsi" w:cstheme="majorHAnsi"/>
          <w:b/>
        </w:rPr>
      </w:pPr>
    </w:p>
    <w:p w14:paraId="69B5C311" w14:textId="77777777"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0597" w:type="dxa"/>
        <w:tblInd w:w="-455" w:type="dxa"/>
        <w:tblLayout w:type="fixed"/>
        <w:tblLook w:val="0000" w:firstRow="0" w:lastRow="0" w:firstColumn="0" w:lastColumn="0" w:noHBand="0" w:noVBand="0"/>
      </w:tblPr>
      <w:tblGrid>
        <w:gridCol w:w="3903"/>
        <w:gridCol w:w="1749"/>
        <w:gridCol w:w="1615"/>
        <w:gridCol w:w="3330"/>
      </w:tblGrid>
      <w:tr w:rsidR="009470EA" w:rsidRPr="00B31E27" w14:paraId="14CB707B" w14:textId="77777777" w:rsidTr="009470EA">
        <w:trPr>
          <w:trHeight w:val="626"/>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68D88E8" w14:textId="31B159FB" w:rsidR="009470EA" w:rsidRPr="00B31E27" w:rsidRDefault="009470EA" w:rsidP="005D691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bookmarkStart w:id="9" w:name="_17dp8vu" w:colFirst="0" w:colLast="0"/>
            <w:bookmarkEnd w:id="9"/>
            <w:r w:rsidRPr="00B31E27">
              <w:rPr>
                <w:rFonts w:asciiTheme="majorHAnsi" w:eastAsia="Cambria" w:hAnsiTheme="majorHAnsi" w:cstheme="majorHAnsi"/>
                <w:b/>
                <w:color w:val="000000"/>
              </w:rPr>
              <w:t>Module Activities</w:t>
            </w:r>
          </w:p>
        </w:tc>
        <w:tc>
          <w:tcPr>
            <w:tcW w:w="1749"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EC9EA9E" w14:textId="0F7064E5"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Time</w:t>
            </w:r>
            <w:r>
              <w:rPr>
                <w:rFonts w:asciiTheme="majorHAnsi" w:eastAsia="Cambria" w:hAnsiTheme="majorHAnsi" w:cstheme="majorHAnsi"/>
                <w:b/>
                <w:color w:val="000000"/>
              </w:rPr>
              <w:t xml:space="preserve"> </w:t>
            </w:r>
            <w:r w:rsidRPr="00B31E27">
              <w:rPr>
                <w:rFonts w:asciiTheme="majorHAnsi" w:eastAsia="Cambria" w:hAnsiTheme="majorHAnsi" w:cstheme="majorHAnsi"/>
                <w:b/>
                <w:color w:val="000000"/>
              </w:rPr>
              <w:t>/Number</w:t>
            </w:r>
          </w:p>
        </w:tc>
        <w:tc>
          <w:tcPr>
            <w:tcW w:w="161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33AB466" w14:textId="77777777"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Weight (Marks)</w:t>
            </w:r>
          </w:p>
        </w:tc>
        <w:tc>
          <w:tcPr>
            <w:tcW w:w="333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1E27706B" w14:textId="77777777"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Week Due</w:t>
            </w:r>
          </w:p>
        </w:tc>
      </w:tr>
      <w:tr w:rsidR="009470EA" w:rsidRPr="00B31E27" w14:paraId="52778718" w14:textId="77777777" w:rsidTr="009470EA">
        <w:trPr>
          <w:trHeight w:val="626"/>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5BA6C93E" w14:textId="0424653C"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Contact hours - Participation</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832FF5" w14:textId="72E19F59" w:rsidR="009470EA" w:rsidRPr="00A47487" w:rsidRDefault="00AB3AF5"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 xml:space="preserve">Weekly bases </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D39B13" w14:textId="77777777"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F11646" w14:textId="686FC48A"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 to 12</w:t>
            </w:r>
          </w:p>
        </w:tc>
      </w:tr>
      <w:tr w:rsidR="009470EA" w:rsidRPr="00B31E27" w14:paraId="7E912185" w14:textId="77777777" w:rsidTr="009470EA">
        <w:trPr>
          <w:trHeight w:val="309"/>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9BDA64C" w14:textId="26D2AD0A"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(Science / Lab)</w:t>
            </w:r>
          </w:p>
          <w:p w14:paraId="4E868BDE" w14:textId="2AC3BB38"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(Social science / Critical thinking)</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0AFEC" w14:textId="52FA3A96" w:rsidR="009470EA" w:rsidRPr="00A47487" w:rsidRDefault="00AB3AF5"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59B646" w14:textId="5E4C9DD4"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23E20" w14:textId="2092E968"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9470EA" w:rsidRPr="00B31E27" w14:paraId="59B0C545" w14:textId="77777777" w:rsidTr="009470EA">
        <w:trPr>
          <w:trHeight w:val="54"/>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1B081E58" w14:textId="11B6A8DB"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Presentation /</w:t>
            </w:r>
          </w:p>
          <w:p w14:paraId="20BFD8B7" w14:textId="53811B7B"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Seminar</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99F72" w14:textId="14449B3B"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96D6BE" w14:textId="3C4FBE2F"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91A75" w14:textId="5F8DF7FB"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7-12</w:t>
            </w:r>
          </w:p>
        </w:tc>
      </w:tr>
      <w:tr w:rsidR="009470EA" w:rsidRPr="00B31E27" w14:paraId="2A006A76"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8CBBC2" w14:textId="57E95F56"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Tutorial</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BFD8F" w14:textId="2703D843"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0B28FF" w14:textId="5A3FE7B1"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09482" w14:textId="45223C10" w:rsidR="009470EA" w:rsidRPr="00B31E27" w:rsidRDefault="009470EA" w:rsidP="00CE3CE3">
            <w:pPr>
              <w:widowControl/>
              <w:pBdr>
                <w:top w:val="nil"/>
                <w:left w:val="nil"/>
                <w:bottom w:val="nil"/>
                <w:right w:val="nil"/>
                <w:between w:val="nil"/>
              </w:pBdr>
              <w:spacing w:line="276" w:lineRule="auto"/>
              <w:rPr>
                <w:rFonts w:asciiTheme="majorHAnsi" w:eastAsia="Cambria" w:hAnsiTheme="majorHAnsi" w:cstheme="majorHAnsi"/>
                <w:color w:val="000000"/>
              </w:rPr>
            </w:pPr>
          </w:p>
        </w:tc>
      </w:tr>
      <w:tr w:rsidR="009470EA" w:rsidRPr="00B31E27" w14:paraId="0608A646"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D00EB3C" w14:textId="70CB8565"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Quiz</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D49BE" w14:textId="0C0D3A5F" w:rsidR="009470EA" w:rsidRPr="00A47487" w:rsidRDefault="00AB3AF5"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2</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12DC0F" w14:textId="60A84A3D"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103B7" w14:textId="2C40B52A"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4,6,8</w:t>
            </w:r>
          </w:p>
        </w:tc>
      </w:tr>
      <w:tr w:rsidR="009470EA" w:rsidRPr="00B31E27" w14:paraId="55C00B8B"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5E62A63" w14:textId="5A22DD46"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Self-study</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F4EFB4" w14:textId="38DEE10B"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9CC122" w14:textId="3334F74E"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9E8AE" w14:textId="18FF5040"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 to 12</w:t>
            </w:r>
          </w:p>
        </w:tc>
      </w:tr>
      <w:tr w:rsidR="009470EA" w:rsidRPr="00B31E27" w14:paraId="559F1164"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E5351A7" w14:textId="14959786"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Projects</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0596B" w14:textId="438A24BB" w:rsidR="009470EA" w:rsidRPr="00A47487" w:rsidRDefault="00AB3AF5"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35157" w14:textId="12002974"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426A3" w14:textId="724BEC06"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3,5,7,9</w:t>
            </w:r>
          </w:p>
        </w:tc>
      </w:tr>
      <w:tr w:rsidR="009470EA" w:rsidRPr="00B31E27" w14:paraId="4A9F508F"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DB988CD" w14:textId="1C32EDB5"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Oral assessment</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C204F4" w14:textId="69166A1C"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44CE5E" w14:textId="2B4310DF"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DE228" w14:textId="696A3295"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5</w:t>
            </w:r>
          </w:p>
        </w:tc>
      </w:tr>
      <w:tr w:rsidR="009470EA" w:rsidRPr="00B31E27" w14:paraId="3FD0AE36" w14:textId="77777777" w:rsidTr="009470EA">
        <w:trPr>
          <w:trHeight w:val="302"/>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14DF91CA" w14:textId="0B7C74A4"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 xml:space="preserve">Midterm Exam </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8BB5D" w14:textId="77859038"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68B579" w14:textId="7FECE023"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20%</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E93B" w14:textId="0F02FD03"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8</w:t>
            </w:r>
          </w:p>
        </w:tc>
      </w:tr>
      <w:tr w:rsidR="009470EA" w:rsidRPr="00B31E27" w14:paraId="39AFEED6"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3B813D3" w14:textId="77777777"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Final Exam</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DD6710" w14:textId="59FAA0B0"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78962" w14:textId="77777777" w:rsidR="009470EA" w:rsidRPr="00A4748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40%</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E53C3" w14:textId="0848A4E1" w:rsidR="009470EA" w:rsidRPr="00B31E27" w:rsidRDefault="009470EA" w:rsidP="00CE3CE3">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9470EA" w:rsidRPr="00B31E27" w14:paraId="74262D22" w14:textId="77777777" w:rsidTr="009470EA">
        <w:trPr>
          <w:trHeight w:val="313"/>
        </w:trPr>
        <w:tc>
          <w:tcPr>
            <w:tcW w:w="3903"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D6A4A34" w14:textId="68D5F764"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Total</w:t>
            </w:r>
          </w:p>
        </w:tc>
        <w:tc>
          <w:tcPr>
            <w:tcW w:w="17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D8B26" w14:textId="77777777"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c>
          <w:tcPr>
            <w:tcW w:w="1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01DF9" w14:textId="77777777"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sidRPr="00B31E27">
              <w:rPr>
                <w:rFonts w:asciiTheme="majorHAnsi" w:eastAsia="Cambria" w:hAnsiTheme="majorHAnsi" w:cstheme="majorHAnsi"/>
                <w:color w:val="000000"/>
              </w:rPr>
              <w:t>100%</w:t>
            </w:r>
          </w:p>
        </w:tc>
        <w:tc>
          <w:tcPr>
            <w:tcW w:w="33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ACC3F" w14:textId="6ACD74FF" w:rsidR="009470EA" w:rsidRPr="00B31E27" w:rsidRDefault="009470EA"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bl>
    <w:p w14:paraId="6F94504E" w14:textId="5CE473BC" w:rsidR="00D05C2C" w:rsidRPr="00B31E27" w:rsidRDefault="00D05C2C" w:rsidP="00A218B6">
      <w:pPr>
        <w:widowControl/>
        <w:pBdr>
          <w:top w:val="nil"/>
          <w:left w:val="nil"/>
          <w:bottom w:val="nil"/>
          <w:right w:val="nil"/>
          <w:between w:val="nil"/>
        </w:pBdr>
        <w:rPr>
          <w:rFonts w:asciiTheme="majorHAnsi" w:eastAsia="Cambria" w:hAnsiTheme="majorHAnsi" w:cstheme="majorHAnsi"/>
        </w:rPr>
      </w:pPr>
      <w:bookmarkStart w:id="10" w:name="_3rdcrjn" w:colFirst="0" w:colLast="0"/>
      <w:bookmarkEnd w:id="10"/>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4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186"/>
      </w:tblGrid>
      <w:tr w:rsidR="001B5146" w:rsidRPr="00B31E27" w14:paraId="7C92AF63" w14:textId="77777777" w:rsidTr="00956238">
        <w:trPr>
          <w:trHeight w:val="31"/>
        </w:trPr>
        <w:tc>
          <w:tcPr>
            <w:tcW w:w="10462"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956238">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91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4BE1202D"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r w:rsidR="00A5001F">
              <w:rPr>
                <w:rFonts w:asciiTheme="majorHAnsi" w:hAnsiTheme="majorHAnsi" w:cstheme="majorHAnsi"/>
                <w:b/>
              </w:rPr>
              <w:t>/ theory</w:t>
            </w:r>
          </w:p>
        </w:tc>
      </w:tr>
      <w:tr w:rsidR="00D05C2C" w:rsidRPr="00B31E27" w14:paraId="1034BA3D"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C8A470"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9186" w:type="dxa"/>
            <w:tcBorders>
              <w:top w:val="single" w:sz="4" w:space="0" w:color="000000"/>
              <w:left w:val="single" w:sz="4" w:space="0" w:color="000000"/>
              <w:bottom w:val="single" w:sz="4" w:space="0" w:color="000000"/>
              <w:right w:val="single" w:sz="4" w:space="0" w:color="000000"/>
            </w:tcBorders>
          </w:tcPr>
          <w:p w14:paraId="209B921F" w14:textId="77777777" w:rsidR="00D05C2C" w:rsidRDefault="00D05C2C" w:rsidP="00D05C2C">
            <w:pPr>
              <w:pStyle w:val="ListParagraph"/>
              <w:numPr>
                <w:ilvl w:val="0"/>
                <w:numId w:val="30"/>
              </w:numPr>
              <w:spacing w:line="276" w:lineRule="auto"/>
              <w:jc w:val="both"/>
            </w:pPr>
            <w:r>
              <w:t xml:space="preserve">Introduction to </w:t>
            </w:r>
            <w:r w:rsidRPr="00B273CD">
              <w:t xml:space="preserve">Principles of Pharmacology </w:t>
            </w:r>
            <w:r>
              <w:t xml:space="preserve"> </w:t>
            </w:r>
          </w:p>
          <w:p w14:paraId="78592D88" w14:textId="55D79095" w:rsidR="00D05C2C" w:rsidRPr="003124C2" w:rsidRDefault="00D05C2C" w:rsidP="00D05C2C">
            <w:pPr>
              <w:pStyle w:val="NoSpacing"/>
              <w:numPr>
                <w:ilvl w:val="0"/>
                <w:numId w:val="30"/>
              </w:numPr>
              <w:rPr>
                <w:rFonts w:asciiTheme="majorHAnsi" w:hAnsiTheme="majorHAnsi" w:cstheme="majorHAnsi"/>
                <w:lang w:bidi="ar-KW"/>
              </w:rPr>
            </w:pPr>
            <w:r w:rsidRPr="0082053C">
              <w:t>Define basic pharmacological terminology.</w:t>
            </w:r>
          </w:p>
        </w:tc>
      </w:tr>
      <w:tr w:rsidR="00D05C2C" w:rsidRPr="00B31E27" w14:paraId="43A2036A"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1D96524"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9186" w:type="dxa"/>
            <w:tcBorders>
              <w:top w:val="single" w:sz="4" w:space="0" w:color="000000"/>
              <w:left w:val="single" w:sz="4" w:space="0" w:color="000000"/>
              <w:bottom w:val="single" w:sz="4" w:space="0" w:color="000000"/>
              <w:right w:val="single" w:sz="4" w:space="0" w:color="000000"/>
            </w:tcBorders>
          </w:tcPr>
          <w:p w14:paraId="1C09EBA6" w14:textId="394D147C" w:rsidR="00D05C2C" w:rsidRPr="00B31E27" w:rsidRDefault="00D05C2C" w:rsidP="00D05C2C">
            <w:pPr>
              <w:pStyle w:val="NoSpacing"/>
              <w:numPr>
                <w:ilvl w:val="0"/>
                <w:numId w:val="30"/>
              </w:numPr>
              <w:rPr>
                <w:rFonts w:asciiTheme="majorHAnsi" w:hAnsiTheme="majorHAnsi" w:cstheme="majorHAnsi"/>
                <w:lang w:bidi="ar-KW"/>
              </w:rPr>
            </w:pPr>
            <w:r>
              <w:t>administration</w:t>
            </w:r>
            <w:r w:rsidRPr="0082053C">
              <w:t xml:space="preserve"> Apply general concepts of pharmacokinetic and pharmacodynamics processes and their application in drug therapy and the nursing process.</w:t>
            </w:r>
          </w:p>
        </w:tc>
      </w:tr>
      <w:tr w:rsidR="00D05C2C" w:rsidRPr="00B31E27" w14:paraId="0508C686" w14:textId="77777777" w:rsidTr="00956238">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69D79E"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9186" w:type="dxa"/>
            <w:tcBorders>
              <w:top w:val="single" w:sz="4" w:space="0" w:color="000000"/>
              <w:left w:val="single" w:sz="4" w:space="0" w:color="000000"/>
              <w:bottom w:val="single" w:sz="4" w:space="0" w:color="000000"/>
              <w:right w:val="single" w:sz="4" w:space="0" w:color="000000"/>
            </w:tcBorders>
          </w:tcPr>
          <w:p w14:paraId="2C81A7A2" w14:textId="7B852730" w:rsidR="00D05C2C" w:rsidRPr="00B31E27" w:rsidRDefault="00D05C2C" w:rsidP="00D05C2C">
            <w:pPr>
              <w:pStyle w:val="NoSpacing"/>
              <w:numPr>
                <w:ilvl w:val="0"/>
                <w:numId w:val="30"/>
              </w:numPr>
              <w:rPr>
                <w:rFonts w:asciiTheme="majorHAnsi" w:hAnsiTheme="majorHAnsi" w:cstheme="majorHAnsi"/>
                <w:lang w:bidi="ar-KW"/>
              </w:rPr>
            </w:pPr>
            <w:r w:rsidRPr="006305E6">
              <w:t xml:space="preserve">Routes of Administration and Dosage forms </w:t>
            </w:r>
          </w:p>
        </w:tc>
      </w:tr>
      <w:tr w:rsidR="00D05C2C" w:rsidRPr="00B31E27" w14:paraId="19CCE012"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4BFE6"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lastRenderedPageBreak/>
              <w:t>Week 4</w:t>
            </w:r>
          </w:p>
        </w:tc>
        <w:tc>
          <w:tcPr>
            <w:tcW w:w="9186" w:type="dxa"/>
            <w:tcBorders>
              <w:top w:val="single" w:sz="4" w:space="0" w:color="000000"/>
              <w:left w:val="single" w:sz="4" w:space="0" w:color="000000"/>
              <w:bottom w:val="single" w:sz="4" w:space="0" w:color="000000"/>
              <w:right w:val="single" w:sz="4" w:space="0" w:color="000000"/>
            </w:tcBorders>
          </w:tcPr>
          <w:p w14:paraId="3F983EB1" w14:textId="1B1ABD5D" w:rsidR="00D05C2C" w:rsidRDefault="00D05C2C" w:rsidP="00D05C2C">
            <w:pPr>
              <w:pStyle w:val="NoSpacing"/>
              <w:numPr>
                <w:ilvl w:val="0"/>
                <w:numId w:val="30"/>
              </w:numPr>
            </w:pPr>
            <w:r>
              <w:t xml:space="preserve"> </w:t>
            </w:r>
            <w:r w:rsidRPr="008E37E8">
              <w:t>Compare the routes of drug administration and dosage</w:t>
            </w:r>
            <w:r w:rsidR="00CD5FF9">
              <w:t>s</w:t>
            </w:r>
          </w:p>
          <w:p w14:paraId="7D329D63" w14:textId="4BD57023" w:rsidR="00D05C2C" w:rsidRPr="00B31E27" w:rsidRDefault="00D05C2C" w:rsidP="00D05C2C">
            <w:pPr>
              <w:pStyle w:val="NoSpacing"/>
              <w:rPr>
                <w:rFonts w:asciiTheme="majorHAnsi" w:hAnsiTheme="majorHAnsi" w:cstheme="majorHAnsi"/>
                <w:lang w:bidi="ar-KW"/>
              </w:rPr>
            </w:pPr>
          </w:p>
        </w:tc>
      </w:tr>
      <w:tr w:rsidR="00D05C2C" w:rsidRPr="00B31E27" w14:paraId="6FD25BC3"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3BCC4D0"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9186" w:type="dxa"/>
            <w:tcBorders>
              <w:top w:val="single" w:sz="4" w:space="0" w:color="000000"/>
              <w:left w:val="single" w:sz="4" w:space="0" w:color="000000"/>
              <w:bottom w:val="single" w:sz="4" w:space="0" w:color="000000"/>
              <w:right w:val="single" w:sz="4" w:space="0" w:color="000000"/>
            </w:tcBorders>
          </w:tcPr>
          <w:p w14:paraId="5BD75B31" w14:textId="5DA73678" w:rsidR="00D05C2C" w:rsidRPr="00B31E27" w:rsidRDefault="00D05C2C" w:rsidP="00D05C2C">
            <w:pPr>
              <w:pStyle w:val="NoSpacing"/>
              <w:numPr>
                <w:ilvl w:val="0"/>
                <w:numId w:val="30"/>
              </w:numPr>
              <w:rPr>
                <w:rFonts w:asciiTheme="majorHAnsi" w:hAnsiTheme="majorHAnsi" w:cstheme="majorHAnsi"/>
                <w:lang w:bidi="ar-KW"/>
              </w:rPr>
            </w:pPr>
            <w:r>
              <w:t xml:space="preserve">Drug classification per system </w:t>
            </w:r>
          </w:p>
        </w:tc>
      </w:tr>
      <w:tr w:rsidR="00D05C2C" w:rsidRPr="00B31E27" w14:paraId="68DE0847"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17366E"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9186" w:type="dxa"/>
            <w:tcBorders>
              <w:top w:val="single" w:sz="4" w:space="0" w:color="000000"/>
              <w:left w:val="single" w:sz="4" w:space="0" w:color="000000"/>
              <w:bottom w:val="single" w:sz="4" w:space="0" w:color="000000"/>
              <w:right w:val="single" w:sz="4" w:space="0" w:color="000000"/>
            </w:tcBorders>
          </w:tcPr>
          <w:p w14:paraId="39901E0F" w14:textId="3F6951FE" w:rsidR="00D05C2C" w:rsidRPr="00B31E27" w:rsidRDefault="00D05C2C" w:rsidP="00D05C2C">
            <w:pPr>
              <w:pStyle w:val="NoSpacing"/>
              <w:numPr>
                <w:ilvl w:val="0"/>
                <w:numId w:val="30"/>
              </w:numPr>
              <w:rPr>
                <w:rFonts w:asciiTheme="majorHAnsi" w:hAnsiTheme="majorHAnsi" w:cstheme="majorHAnsi"/>
                <w:lang w:bidi="ar-KW"/>
              </w:rPr>
            </w:pPr>
            <w:r w:rsidRPr="00363D10">
              <w:rPr>
                <w:rFonts w:asciiTheme="majorBidi" w:hAnsiTheme="majorBidi" w:cstheme="majorBidi"/>
              </w:rPr>
              <w:t>Understand and classify drugs according to their group, mechanism of action and therapeutic uses.</w:t>
            </w:r>
          </w:p>
        </w:tc>
      </w:tr>
      <w:tr w:rsidR="00D05C2C" w:rsidRPr="00B31E27" w14:paraId="3FB8A061"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F07C0A"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9186" w:type="dxa"/>
            <w:tcBorders>
              <w:top w:val="single" w:sz="4" w:space="0" w:color="000000"/>
              <w:left w:val="single" w:sz="4" w:space="0" w:color="000000"/>
              <w:bottom w:val="single" w:sz="4" w:space="0" w:color="000000"/>
              <w:right w:val="single" w:sz="4" w:space="0" w:color="000000"/>
            </w:tcBorders>
          </w:tcPr>
          <w:p w14:paraId="0461131A" w14:textId="29AA3318" w:rsidR="00D05C2C" w:rsidRPr="00E8109E" w:rsidRDefault="00D05C2C" w:rsidP="00D05C2C">
            <w:pPr>
              <w:pStyle w:val="NoSpacing"/>
              <w:numPr>
                <w:ilvl w:val="0"/>
                <w:numId w:val="30"/>
              </w:numPr>
              <w:rPr>
                <w:rFonts w:asciiTheme="majorBidi" w:hAnsiTheme="majorBidi" w:cstheme="majorBidi"/>
              </w:rPr>
            </w:pPr>
            <w:r>
              <w:t>Continue with drug classification</w:t>
            </w:r>
          </w:p>
          <w:p w14:paraId="2CD342DB" w14:textId="150E9661" w:rsidR="00D05C2C" w:rsidRPr="00B31E27" w:rsidRDefault="00D05C2C" w:rsidP="00D05C2C">
            <w:pPr>
              <w:pStyle w:val="NoSpacing"/>
              <w:ind w:left="720"/>
              <w:rPr>
                <w:rFonts w:asciiTheme="majorHAnsi" w:hAnsiTheme="majorHAnsi" w:cstheme="majorHAnsi"/>
                <w:lang w:bidi="ar-KW"/>
              </w:rPr>
            </w:pPr>
          </w:p>
        </w:tc>
      </w:tr>
      <w:tr w:rsidR="00D05C2C" w:rsidRPr="00B31E27" w14:paraId="14192903"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ED7465"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9186" w:type="dxa"/>
            <w:tcBorders>
              <w:top w:val="single" w:sz="4" w:space="0" w:color="000000"/>
              <w:left w:val="single" w:sz="4" w:space="0" w:color="000000"/>
              <w:bottom w:val="single" w:sz="4" w:space="0" w:color="000000"/>
              <w:right w:val="single" w:sz="4" w:space="0" w:color="000000"/>
            </w:tcBorders>
          </w:tcPr>
          <w:p w14:paraId="38970149" w14:textId="1B268BC3" w:rsidR="00D05C2C" w:rsidRPr="00B31E27" w:rsidRDefault="00D05C2C" w:rsidP="00D05C2C">
            <w:pPr>
              <w:pStyle w:val="NoSpacing"/>
              <w:rPr>
                <w:rFonts w:asciiTheme="majorHAnsi" w:hAnsiTheme="majorHAnsi" w:cstheme="majorHAnsi"/>
                <w:lang w:bidi="ar-KW"/>
              </w:rPr>
            </w:pPr>
            <w:r>
              <w:rPr>
                <w:rFonts w:asciiTheme="majorBidi" w:hAnsiTheme="majorBidi" w:cstheme="majorBidi"/>
                <w:b/>
                <w:bCs/>
              </w:rPr>
              <w:t xml:space="preserve">Midterm exam </w:t>
            </w:r>
          </w:p>
        </w:tc>
      </w:tr>
      <w:tr w:rsidR="00D05C2C" w:rsidRPr="00B31E27" w14:paraId="6ACDC4DB"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470340"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9186" w:type="dxa"/>
            <w:tcBorders>
              <w:top w:val="single" w:sz="4" w:space="0" w:color="000000"/>
              <w:left w:val="single" w:sz="4" w:space="0" w:color="000000"/>
              <w:bottom w:val="single" w:sz="4" w:space="0" w:color="000000"/>
              <w:right w:val="single" w:sz="4" w:space="0" w:color="000000"/>
            </w:tcBorders>
          </w:tcPr>
          <w:p w14:paraId="30CC7DF9" w14:textId="77777777" w:rsidR="00D05C2C" w:rsidRPr="0013556E" w:rsidRDefault="00D05C2C" w:rsidP="00D05C2C">
            <w:pPr>
              <w:pStyle w:val="NoSpacing"/>
              <w:numPr>
                <w:ilvl w:val="0"/>
                <w:numId w:val="30"/>
              </w:numPr>
            </w:pPr>
            <w:r>
              <w:t xml:space="preserve"> </w:t>
            </w:r>
            <w:r w:rsidRPr="00E8109E">
              <w:rPr>
                <w:rFonts w:asciiTheme="majorBidi" w:hAnsiTheme="majorBidi" w:cstheme="majorBidi"/>
              </w:rPr>
              <w:t>Nursing Rights of Medication Administration</w:t>
            </w:r>
          </w:p>
          <w:p w14:paraId="535479B4" w14:textId="384617B6" w:rsidR="00D05C2C" w:rsidRPr="00B31E27" w:rsidRDefault="00D05C2C" w:rsidP="00D05C2C">
            <w:pPr>
              <w:pStyle w:val="NoSpacing"/>
              <w:ind w:left="720"/>
              <w:rPr>
                <w:rFonts w:asciiTheme="majorHAnsi" w:hAnsiTheme="majorHAnsi" w:cstheme="majorHAnsi"/>
                <w:lang w:bidi="ar-KW"/>
              </w:rPr>
            </w:pPr>
          </w:p>
        </w:tc>
      </w:tr>
      <w:tr w:rsidR="00D05C2C" w:rsidRPr="00B31E27" w14:paraId="68DA0392"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05F6EC"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9186" w:type="dxa"/>
            <w:tcBorders>
              <w:top w:val="single" w:sz="4" w:space="0" w:color="000000"/>
              <w:left w:val="single" w:sz="4" w:space="0" w:color="000000"/>
              <w:bottom w:val="single" w:sz="4" w:space="0" w:color="000000"/>
              <w:right w:val="single" w:sz="4" w:space="0" w:color="000000"/>
            </w:tcBorders>
          </w:tcPr>
          <w:p w14:paraId="46DEB531" w14:textId="13211E64" w:rsidR="00D05C2C" w:rsidRPr="00B31E27" w:rsidRDefault="00D05C2C" w:rsidP="00D05C2C">
            <w:pPr>
              <w:pStyle w:val="NoSpacing"/>
              <w:numPr>
                <w:ilvl w:val="0"/>
                <w:numId w:val="30"/>
              </w:numPr>
              <w:rPr>
                <w:rFonts w:asciiTheme="majorHAnsi" w:hAnsiTheme="majorHAnsi" w:cstheme="majorHAnsi"/>
                <w:lang w:bidi="ar-KW"/>
              </w:rPr>
            </w:pPr>
            <w:r w:rsidRPr="00363D10">
              <w:rPr>
                <w:rFonts w:asciiTheme="majorBidi" w:hAnsiTheme="majorBidi" w:cstheme="majorBidi"/>
              </w:rPr>
              <w:t>The requirements drugs as therapy, applying and selecting medication to specific disease.</w:t>
            </w:r>
          </w:p>
        </w:tc>
      </w:tr>
      <w:tr w:rsidR="00D05C2C" w:rsidRPr="00B31E27" w14:paraId="3E89E6A1"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C7F207"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9186" w:type="dxa"/>
            <w:tcBorders>
              <w:top w:val="single" w:sz="4" w:space="0" w:color="000000"/>
              <w:left w:val="single" w:sz="4" w:space="0" w:color="000000"/>
              <w:bottom w:val="single" w:sz="4" w:space="0" w:color="000000"/>
              <w:right w:val="single" w:sz="4" w:space="0" w:color="000000"/>
            </w:tcBorders>
          </w:tcPr>
          <w:p w14:paraId="7A7B9B3E" w14:textId="77777777" w:rsidR="00D05C2C" w:rsidRPr="0082053C" w:rsidRDefault="00D05C2C" w:rsidP="00D05C2C">
            <w:pPr>
              <w:pStyle w:val="NoSpacing"/>
              <w:numPr>
                <w:ilvl w:val="0"/>
                <w:numId w:val="30"/>
              </w:numPr>
            </w:pPr>
            <w:r w:rsidRPr="0082053C">
              <w:t xml:space="preserve"> Drug Dosage Calculation</w:t>
            </w:r>
          </w:p>
          <w:p w14:paraId="72FF9EAB" w14:textId="77777777" w:rsidR="00D05C2C" w:rsidRDefault="00D05C2C" w:rsidP="00D05C2C">
            <w:pPr>
              <w:pStyle w:val="NoSpacing"/>
              <w:ind w:left="720"/>
            </w:pPr>
          </w:p>
          <w:p w14:paraId="279C9EEE" w14:textId="0295EF5F" w:rsidR="00D05C2C" w:rsidRPr="00B31E27" w:rsidRDefault="00D05C2C" w:rsidP="00D05C2C">
            <w:pPr>
              <w:pStyle w:val="NoSpacing"/>
              <w:ind w:left="720"/>
              <w:rPr>
                <w:rFonts w:asciiTheme="majorHAnsi" w:hAnsiTheme="majorHAnsi" w:cstheme="majorHAnsi"/>
                <w:lang w:bidi="ar-KW"/>
              </w:rPr>
            </w:pPr>
          </w:p>
        </w:tc>
      </w:tr>
      <w:tr w:rsidR="00D05C2C" w:rsidRPr="00B31E27" w14:paraId="65C69D2B"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6183FB"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9186" w:type="dxa"/>
            <w:tcBorders>
              <w:top w:val="single" w:sz="4" w:space="0" w:color="000000"/>
              <w:left w:val="single" w:sz="4" w:space="0" w:color="000000"/>
              <w:bottom w:val="single" w:sz="4" w:space="0" w:color="000000"/>
              <w:right w:val="single" w:sz="4" w:space="0" w:color="000000"/>
            </w:tcBorders>
          </w:tcPr>
          <w:p w14:paraId="771117AF" w14:textId="3AAD885A" w:rsidR="00D05C2C" w:rsidRPr="00B31E27" w:rsidRDefault="00D05C2C" w:rsidP="00D05C2C">
            <w:pPr>
              <w:pStyle w:val="NoSpacing"/>
              <w:numPr>
                <w:ilvl w:val="0"/>
                <w:numId w:val="30"/>
              </w:numPr>
              <w:rPr>
                <w:rFonts w:asciiTheme="majorHAnsi" w:hAnsiTheme="majorHAnsi" w:cstheme="majorHAnsi"/>
                <w:lang w:bidi="ar-KW"/>
              </w:rPr>
            </w:pPr>
            <w:r>
              <w:rPr>
                <w:rFonts w:asciiTheme="majorBidi" w:hAnsiTheme="majorBidi" w:cstheme="majorBidi"/>
              </w:rPr>
              <w:t>Continue with week 9</w:t>
            </w:r>
          </w:p>
        </w:tc>
      </w:tr>
      <w:tr w:rsidR="00D05C2C" w:rsidRPr="00B31E27" w14:paraId="4AF81C16"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F88598F" w14:textId="77777777" w:rsidR="00D05C2C" w:rsidRPr="00DF3F1E" w:rsidRDefault="00D05C2C" w:rsidP="00D05C2C">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9186" w:type="dxa"/>
            <w:tcBorders>
              <w:top w:val="single" w:sz="4" w:space="0" w:color="000000"/>
              <w:left w:val="single" w:sz="4" w:space="0" w:color="000000"/>
              <w:bottom w:val="single" w:sz="4" w:space="0" w:color="000000"/>
              <w:right w:val="single" w:sz="4" w:space="0" w:color="000000"/>
            </w:tcBorders>
          </w:tcPr>
          <w:p w14:paraId="7CE07BBE" w14:textId="16F2BEA5" w:rsidR="00D05C2C" w:rsidRPr="00B31E27" w:rsidRDefault="00D05C2C" w:rsidP="00D05C2C">
            <w:pPr>
              <w:pStyle w:val="NoSpacing"/>
              <w:rPr>
                <w:rFonts w:asciiTheme="majorHAnsi" w:hAnsiTheme="majorHAnsi" w:cstheme="majorHAnsi"/>
                <w:lang w:bidi="ar-KW"/>
              </w:rPr>
            </w:pPr>
            <w:r>
              <w:rPr>
                <w:b/>
                <w:bCs/>
              </w:rPr>
              <w:t xml:space="preserve"> S</w:t>
            </w:r>
            <w:r w:rsidRPr="00547F49">
              <w:rPr>
                <w:b/>
                <w:bCs/>
              </w:rPr>
              <w:t>eminar</w:t>
            </w:r>
          </w:p>
        </w:tc>
      </w:tr>
      <w:tr w:rsidR="00AB3AF5" w:rsidRPr="00B31E27" w14:paraId="6C621F55"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CF1EF1" w14:textId="0C0D9180" w:rsidR="00AB3AF5" w:rsidRPr="00DF3F1E" w:rsidRDefault="00AB3AF5" w:rsidP="00D05C2C">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14</w:t>
            </w:r>
          </w:p>
        </w:tc>
        <w:tc>
          <w:tcPr>
            <w:tcW w:w="9186" w:type="dxa"/>
            <w:tcBorders>
              <w:top w:val="single" w:sz="4" w:space="0" w:color="000000"/>
              <w:left w:val="single" w:sz="4" w:space="0" w:color="000000"/>
              <w:bottom w:val="single" w:sz="4" w:space="0" w:color="000000"/>
              <w:right w:val="single" w:sz="4" w:space="0" w:color="000000"/>
            </w:tcBorders>
          </w:tcPr>
          <w:p w14:paraId="10E2EB1B" w14:textId="442ACEA9" w:rsidR="00AB3AF5" w:rsidRDefault="00AB3AF5" w:rsidP="00D05C2C">
            <w:pPr>
              <w:pStyle w:val="NoSpacing"/>
              <w:rPr>
                <w:b/>
                <w:bCs/>
              </w:rPr>
            </w:pPr>
            <w:r>
              <w:rPr>
                <w:b/>
                <w:bCs/>
              </w:rPr>
              <w:t xml:space="preserve">How to read prescriptions </w:t>
            </w:r>
          </w:p>
        </w:tc>
      </w:tr>
      <w:tr w:rsidR="00AB3AF5" w:rsidRPr="00B31E27" w14:paraId="09DABB64"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67DC484" w14:textId="6BC49459" w:rsidR="00AB3AF5" w:rsidRPr="00DF3F1E" w:rsidRDefault="00AB3AF5" w:rsidP="00D05C2C">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15</w:t>
            </w:r>
          </w:p>
        </w:tc>
        <w:tc>
          <w:tcPr>
            <w:tcW w:w="9186" w:type="dxa"/>
            <w:tcBorders>
              <w:top w:val="single" w:sz="4" w:space="0" w:color="000000"/>
              <w:left w:val="single" w:sz="4" w:space="0" w:color="000000"/>
              <w:bottom w:val="single" w:sz="4" w:space="0" w:color="000000"/>
              <w:right w:val="single" w:sz="4" w:space="0" w:color="000000"/>
            </w:tcBorders>
          </w:tcPr>
          <w:p w14:paraId="71E8C501" w14:textId="10B0C8D3" w:rsidR="00AB3AF5" w:rsidRDefault="00AB3AF5" w:rsidP="00D05C2C">
            <w:pPr>
              <w:pStyle w:val="NoSpacing"/>
              <w:rPr>
                <w:b/>
                <w:bCs/>
              </w:rPr>
            </w:pPr>
            <w:r>
              <w:rPr>
                <w:b/>
                <w:bCs/>
              </w:rPr>
              <w:t xml:space="preserve">Medication side effects and adverse drug reaction </w:t>
            </w:r>
          </w:p>
        </w:tc>
      </w:tr>
      <w:tr w:rsidR="00AB3AF5" w:rsidRPr="00B31E27" w14:paraId="0078B24C" w14:textId="77777777" w:rsidTr="00956238">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E00C703" w14:textId="677D873F" w:rsidR="00AB3AF5" w:rsidRPr="00DF3F1E" w:rsidRDefault="00AB3AF5" w:rsidP="00D05C2C">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16</w:t>
            </w:r>
          </w:p>
        </w:tc>
        <w:tc>
          <w:tcPr>
            <w:tcW w:w="9186" w:type="dxa"/>
            <w:tcBorders>
              <w:top w:val="single" w:sz="4" w:space="0" w:color="000000"/>
              <w:left w:val="single" w:sz="4" w:space="0" w:color="000000"/>
              <w:bottom w:val="single" w:sz="4" w:space="0" w:color="000000"/>
              <w:right w:val="single" w:sz="4" w:space="0" w:color="000000"/>
            </w:tcBorders>
          </w:tcPr>
          <w:p w14:paraId="1EDF8832" w14:textId="7E45F34A" w:rsidR="00AB3AF5" w:rsidRDefault="00AB3AF5" w:rsidP="00D05C2C">
            <w:pPr>
              <w:pStyle w:val="NoSpacing"/>
              <w:rPr>
                <w:b/>
                <w:bCs/>
              </w:rPr>
            </w:pPr>
            <w:r>
              <w:rPr>
                <w:b/>
                <w:bCs/>
              </w:rPr>
              <w:t xml:space="preserve">Project about the role of nursing to report ADR </w:t>
            </w:r>
          </w:p>
        </w:tc>
      </w:tr>
      <w:tr w:rsidR="00D05C2C" w:rsidRPr="00B31E27" w14:paraId="643CFDC6" w14:textId="77777777" w:rsidTr="00956238">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5A5FC5" w14:textId="3A369512" w:rsidR="00D05C2C" w:rsidRPr="00DF3F1E" w:rsidRDefault="00AB3AF5" w:rsidP="00D05C2C">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17</w:t>
            </w:r>
          </w:p>
        </w:tc>
        <w:tc>
          <w:tcPr>
            <w:tcW w:w="9186" w:type="dxa"/>
            <w:tcBorders>
              <w:top w:val="single" w:sz="4" w:space="0" w:color="000000"/>
              <w:left w:val="single" w:sz="4" w:space="0" w:color="000000"/>
              <w:bottom w:val="single" w:sz="4" w:space="0" w:color="000000"/>
              <w:right w:val="single" w:sz="4" w:space="0" w:color="000000"/>
            </w:tcBorders>
          </w:tcPr>
          <w:p w14:paraId="4518D1FF" w14:textId="79888360" w:rsidR="00D05C2C" w:rsidRPr="00B31E27" w:rsidRDefault="00D05C2C" w:rsidP="00D05C2C">
            <w:pPr>
              <w:pStyle w:val="NoSpacing"/>
              <w:rPr>
                <w:rFonts w:asciiTheme="majorHAnsi" w:hAnsiTheme="majorHAnsi" w:cstheme="majorHAnsi"/>
                <w:lang w:bidi="ar-KW"/>
              </w:rPr>
            </w:pPr>
            <w:r w:rsidRPr="00D0240E">
              <w:rPr>
                <w:b/>
                <w:bCs/>
              </w:rPr>
              <w:t>Quick revision - overall</w:t>
            </w:r>
          </w:p>
        </w:tc>
      </w:tr>
      <w:tr w:rsidR="00D05C2C" w:rsidRPr="00B31E27" w14:paraId="2224BFCC" w14:textId="77777777" w:rsidTr="00956238">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2E0827A" w14:textId="71B57A19" w:rsidR="00D05C2C" w:rsidRPr="00DF3F1E" w:rsidRDefault="00AB3AF5" w:rsidP="00D05C2C">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18</w:t>
            </w:r>
          </w:p>
        </w:tc>
        <w:tc>
          <w:tcPr>
            <w:tcW w:w="9186" w:type="dxa"/>
            <w:tcBorders>
              <w:top w:val="single" w:sz="4" w:space="0" w:color="000000"/>
              <w:left w:val="single" w:sz="4" w:space="0" w:color="000000"/>
              <w:bottom w:val="single" w:sz="4" w:space="0" w:color="000000"/>
              <w:right w:val="single" w:sz="4" w:space="0" w:color="000000"/>
            </w:tcBorders>
          </w:tcPr>
          <w:p w14:paraId="49FA4B3A" w14:textId="0524E600" w:rsidR="00D05C2C" w:rsidRPr="00B31E27" w:rsidRDefault="00D05C2C" w:rsidP="00D05C2C">
            <w:pPr>
              <w:pStyle w:val="NoSpacing"/>
              <w:rPr>
                <w:rFonts w:asciiTheme="majorHAnsi" w:hAnsiTheme="majorHAnsi" w:cstheme="majorHAnsi"/>
              </w:rPr>
            </w:pPr>
            <w:r w:rsidRPr="00D0240E">
              <w:rPr>
                <w:b/>
                <w:bCs/>
              </w:rPr>
              <w:t>Final exam session</w:t>
            </w:r>
          </w:p>
        </w:tc>
      </w:tr>
    </w:tbl>
    <w:p w14:paraId="43AA82D8" w14:textId="14F49C0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071287D2" w14:textId="360BC4B4"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7C860607" w14:textId="2B13C19A"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2FF704CB" w14:textId="26220D1F"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035E34E2" w14:textId="2E92DCC0"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p w14:paraId="532B8F56" w14:textId="46BEA05A"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bookmarkStart w:id="12" w:name="_GoBack"/>
      <w:bookmarkEnd w:id="12"/>
    </w:p>
    <w:p w14:paraId="1A1A8705" w14:textId="77777777" w:rsidR="00A5001F" w:rsidRDefault="00A5001F"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4"/>
        <w:tblW w:w="104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9186"/>
      </w:tblGrid>
      <w:tr w:rsidR="00A5001F" w:rsidRPr="00B31E27" w14:paraId="30659779" w14:textId="77777777" w:rsidTr="00BA2E53">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CE9AE1" w14:textId="77777777" w:rsidR="00A5001F" w:rsidRPr="00B31E27" w:rsidRDefault="00A5001F" w:rsidP="00BA2E53">
            <w:pPr>
              <w:pStyle w:val="NoSpacing"/>
              <w:jc w:val="center"/>
              <w:rPr>
                <w:rFonts w:asciiTheme="majorHAnsi" w:eastAsia="Cambria" w:hAnsiTheme="majorHAnsi" w:cstheme="majorHAnsi"/>
                <w:b/>
                <w:color w:val="000000"/>
              </w:rPr>
            </w:pPr>
          </w:p>
        </w:tc>
        <w:tc>
          <w:tcPr>
            <w:tcW w:w="91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D1882F9" w14:textId="0B0477B5" w:rsidR="00A5001F" w:rsidRPr="00B31E27" w:rsidRDefault="00A5001F" w:rsidP="00BA2E53">
            <w:pPr>
              <w:pStyle w:val="NoSpacing"/>
              <w:jc w:val="center"/>
              <w:rPr>
                <w:rFonts w:asciiTheme="majorHAnsi" w:hAnsiTheme="majorHAnsi" w:cstheme="majorHAnsi"/>
                <w:b/>
              </w:rPr>
            </w:pPr>
            <w:r w:rsidRPr="00B31E27">
              <w:rPr>
                <w:rFonts w:asciiTheme="majorHAnsi" w:hAnsiTheme="majorHAnsi" w:cstheme="majorHAnsi"/>
                <w:b/>
              </w:rPr>
              <w:t>Course Module Content</w:t>
            </w:r>
            <w:r>
              <w:rPr>
                <w:rFonts w:asciiTheme="majorHAnsi" w:hAnsiTheme="majorHAnsi" w:cstheme="majorHAnsi"/>
                <w:b/>
              </w:rPr>
              <w:t>/ practical</w:t>
            </w:r>
          </w:p>
        </w:tc>
      </w:tr>
      <w:tr w:rsidR="00A5001F" w:rsidRPr="00B31E27" w14:paraId="624E5F5B"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470D11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9186" w:type="dxa"/>
            <w:tcBorders>
              <w:top w:val="single" w:sz="4" w:space="0" w:color="000000"/>
              <w:left w:val="single" w:sz="4" w:space="0" w:color="000000"/>
              <w:bottom w:val="single" w:sz="4" w:space="0" w:color="000000"/>
              <w:right w:val="single" w:sz="4" w:space="0" w:color="000000"/>
            </w:tcBorders>
          </w:tcPr>
          <w:p w14:paraId="3712AB9C" w14:textId="1873A32E" w:rsidR="00A5001F" w:rsidRPr="00B31E27" w:rsidRDefault="00EE6196" w:rsidP="003124C2">
            <w:pPr>
              <w:pStyle w:val="NoSpacing"/>
              <w:jc w:val="center"/>
              <w:rPr>
                <w:rFonts w:asciiTheme="majorHAnsi" w:hAnsiTheme="majorHAnsi" w:cstheme="majorHAnsi"/>
                <w:lang w:bidi="ar-KW"/>
              </w:rPr>
            </w:pPr>
            <w:r>
              <w:rPr>
                <w:rFonts w:asciiTheme="majorHAnsi" w:hAnsiTheme="majorHAnsi" w:cstheme="majorHAnsi"/>
                <w:lang w:bidi="ar-KW"/>
              </w:rPr>
              <w:t xml:space="preserve">Activities on drug classes </w:t>
            </w:r>
          </w:p>
        </w:tc>
      </w:tr>
      <w:tr w:rsidR="00A5001F" w:rsidRPr="00B31E27" w14:paraId="63DCC30C"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3ACFE2C"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9186" w:type="dxa"/>
            <w:tcBorders>
              <w:top w:val="single" w:sz="4" w:space="0" w:color="000000"/>
              <w:left w:val="single" w:sz="4" w:space="0" w:color="000000"/>
              <w:bottom w:val="single" w:sz="4" w:space="0" w:color="000000"/>
              <w:right w:val="single" w:sz="4" w:space="0" w:color="000000"/>
            </w:tcBorders>
          </w:tcPr>
          <w:p w14:paraId="4E9FCF33" w14:textId="30E9DD6C" w:rsidR="00A5001F" w:rsidRPr="00B31E27" w:rsidRDefault="00A5001F" w:rsidP="00A5001F">
            <w:pPr>
              <w:pStyle w:val="NoSpacing"/>
              <w:rPr>
                <w:rFonts w:asciiTheme="majorHAnsi" w:hAnsiTheme="majorHAnsi" w:cstheme="majorHAnsi"/>
                <w:lang w:bidi="ar-KW"/>
              </w:rPr>
            </w:pPr>
          </w:p>
        </w:tc>
      </w:tr>
      <w:tr w:rsidR="00A5001F" w:rsidRPr="00B31E27" w14:paraId="56E2124A" w14:textId="77777777" w:rsidTr="00BA2E53">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733964D"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9186" w:type="dxa"/>
            <w:tcBorders>
              <w:top w:val="single" w:sz="4" w:space="0" w:color="000000"/>
              <w:left w:val="single" w:sz="4" w:space="0" w:color="000000"/>
              <w:bottom w:val="single" w:sz="4" w:space="0" w:color="000000"/>
              <w:right w:val="single" w:sz="4" w:space="0" w:color="000000"/>
            </w:tcBorders>
          </w:tcPr>
          <w:p w14:paraId="0119D3E1" w14:textId="16E0353B" w:rsidR="00A5001F" w:rsidRPr="00B31E27" w:rsidRDefault="00A5001F" w:rsidP="00A5001F">
            <w:pPr>
              <w:pStyle w:val="NoSpacing"/>
              <w:rPr>
                <w:rFonts w:asciiTheme="majorHAnsi" w:hAnsiTheme="majorHAnsi" w:cstheme="majorHAnsi"/>
                <w:lang w:bidi="ar-KW"/>
              </w:rPr>
            </w:pPr>
          </w:p>
        </w:tc>
      </w:tr>
      <w:tr w:rsidR="00A5001F" w:rsidRPr="00B31E27" w14:paraId="432BAB17"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9E4798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4</w:t>
            </w:r>
          </w:p>
        </w:tc>
        <w:tc>
          <w:tcPr>
            <w:tcW w:w="9186" w:type="dxa"/>
            <w:tcBorders>
              <w:top w:val="single" w:sz="4" w:space="0" w:color="000000"/>
              <w:left w:val="single" w:sz="4" w:space="0" w:color="000000"/>
              <w:bottom w:val="single" w:sz="4" w:space="0" w:color="000000"/>
              <w:right w:val="single" w:sz="4" w:space="0" w:color="000000"/>
            </w:tcBorders>
          </w:tcPr>
          <w:p w14:paraId="0D16EA6A" w14:textId="3266C65E" w:rsidR="00A5001F" w:rsidRPr="00B31E27" w:rsidRDefault="00A5001F" w:rsidP="00A5001F">
            <w:pPr>
              <w:pStyle w:val="NoSpacing"/>
              <w:rPr>
                <w:rFonts w:asciiTheme="majorHAnsi" w:hAnsiTheme="majorHAnsi" w:cstheme="majorHAnsi"/>
                <w:lang w:bidi="ar-KW"/>
              </w:rPr>
            </w:pPr>
          </w:p>
        </w:tc>
      </w:tr>
      <w:tr w:rsidR="00A5001F" w:rsidRPr="00B31E27" w14:paraId="127BF73B"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D4F6F3D"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9186" w:type="dxa"/>
            <w:tcBorders>
              <w:top w:val="single" w:sz="4" w:space="0" w:color="000000"/>
              <w:left w:val="single" w:sz="4" w:space="0" w:color="000000"/>
              <w:bottom w:val="single" w:sz="4" w:space="0" w:color="000000"/>
              <w:right w:val="single" w:sz="4" w:space="0" w:color="000000"/>
            </w:tcBorders>
          </w:tcPr>
          <w:p w14:paraId="6B6B67DA" w14:textId="2BD4C4E3" w:rsidR="00A5001F" w:rsidRPr="00B31E27" w:rsidRDefault="00A5001F" w:rsidP="00A5001F">
            <w:pPr>
              <w:pStyle w:val="NoSpacing"/>
              <w:rPr>
                <w:rFonts w:asciiTheme="majorHAnsi" w:hAnsiTheme="majorHAnsi" w:cstheme="majorHAnsi"/>
                <w:lang w:bidi="ar-KW"/>
              </w:rPr>
            </w:pPr>
          </w:p>
        </w:tc>
      </w:tr>
      <w:tr w:rsidR="00A5001F" w:rsidRPr="00B31E27" w14:paraId="746F712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8C84E9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9186" w:type="dxa"/>
            <w:tcBorders>
              <w:top w:val="single" w:sz="4" w:space="0" w:color="000000"/>
              <w:left w:val="single" w:sz="4" w:space="0" w:color="000000"/>
              <w:bottom w:val="single" w:sz="4" w:space="0" w:color="000000"/>
              <w:right w:val="single" w:sz="4" w:space="0" w:color="000000"/>
            </w:tcBorders>
          </w:tcPr>
          <w:p w14:paraId="777C3E50" w14:textId="1C920FE9" w:rsidR="00A5001F" w:rsidRPr="00B31E27" w:rsidRDefault="00A5001F" w:rsidP="00A5001F">
            <w:pPr>
              <w:pStyle w:val="NoSpacing"/>
              <w:rPr>
                <w:rFonts w:asciiTheme="majorHAnsi" w:hAnsiTheme="majorHAnsi" w:cstheme="majorHAnsi"/>
                <w:lang w:bidi="ar-KW"/>
              </w:rPr>
            </w:pPr>
          </w:p>
        </w:tc>
      </w:tr>
      <w:tr w:rsidR="00A5001F" w:rsidRPr="00B31E27" w14:paraId="6C1964B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253F8BE"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9186" w:type="dxa"/>
            <w:tcBorders>
              <w:top w:val="single" w:sz="4" w:space="0" w:color="000000"/>
              <w:left w:val="single" w:sz="4" w:space="0" w:color="000000"/>
              <w:bottom w:val="single" w:sz="4" w:space="0" w:color="000000"/>
              <w:right w:val="single" w:sz="4" w:space="0" w:color="000000"/>
            </w:tcBorders>
          </w:tcPr>
          <w:p w14:paraId="1A7A97AC" w14:textId="2A791026" w:rsidR="00A5001F" w:rsidRPr="00B31E27" w:rsidRDefault="00A5001F" w:rsidP="00A5001F">
            <w:pPr>
              <w:pStyle w:val="NoSpacing"/>
              <w:rPr>
                <w:rFonts w:asciiTheme="majorHAnsi" w:hAnsiTheme="majorHAnsi" w:cstheme="majorHAnsi"/>
                <w:lang w:bidi="ar-KW"/>
              </w:rPr>
            </w:pPr>
          </w:p>
        </w:tc>
      </w:tr>
      <w:tr w:rsidR="00A5001F" w:rsidRPr="00B31E27" w14:paraId="0067DEFD"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38D7E2"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9186" w:type="dxa"/>
            <w:tcBorders>
              <w:top w:val="single" w:sz="4" w:space="0" w:color="000000"/>
              <w:left w:val="single" w:sz="4" w:space="0" w:color="000000"/>
              <w:bottom w:val="single" w:sz="4" w:space="0" w:color="000000"/>
              <w:right w:val="single" w:sz="4" w:space="0" w:color="000000"/>
            </w:tcBorders>
          </w:tcPr>
          <w:p w14:paraId="10BEBD11" w14:textId="016D459E" w:rsidR="00A5001F" w:rsidRPr="00B31E27" w:rsidRDefault="00A5001F" w:rsidP="00A5001F">
            <w:pPr>
              <w:pStyle w:val="NoSpacing"/>
              <w:rPr>
                <w:rFonts w:asciiTheme="majorHAnsi" w:hAnsiTheme="majorHAnsi" w:cstheme="majorHAnsi"/>
                <w:lang w:bidi="ar-KW"/>
              </w:rPr>
            </w:pPr>
          </w:p>
        </w:tc>
      </w:tr>
      <w:tr w:rsidR="00A5001F" w:rsidRPr="00B31E27" w14:paraId="7227E317"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E2510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9186" w:type="dxa"/>
            <w:tcBorders>
              <w:top w:val="single" w:sz="4" w:space="0" w:color="000000"/>
              <w:left w:val="single" w:sz="4" w:space="0" w:color="000000"/>
              <w:bottom w:val="single" w:sz="4" w:space="0" w:color="000000"/>
              <w:right w:val="single" w:sz="4" w:space="0" w:color="000000"/>
            </w:tcBorders>
          </w:tcPr>
          <w:p w14:paraId="244B271A" w14:textId="581480A2" w:rsidR="00A5001F" w:rsidRPr="00B31E27" w:rsidRDefault="00A5001F" w:rsidP="00A5001F">
            <w:pPr>
              <w:pStyle w:val="NoSpacing"/>
              <w:rPr>
                <w:rFonts w:asciiTheme="majorHAnsi" w:hAnsiTheme="majorHAnsi" w:cstheme="majorHAnsi"/>
                <w:lang w:bidi="ar-KW"/>
              </w:rPr>
            </w:pPr>
          </w:p>
        </w:tc>
      </w:tr>
      <w:tr w:rsidR="00A5001F" w:rsidRPr="00B31E27" w14:paraId="09908361"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3FD09A"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9186" w:type="dxa"/>
            <w:tcBorders>
              <w:top w:val="single" w:sz="4" w:space="0" w:color="000000"/>
              <w:left w:val="single" w:sz="4" w:space="0" w:color="000000"/>
              <w:bottom w:val="single" w:sz="4" w:space="0" w:color="000000"/>
              <w:right w:val="single" w:sz="4" w:space="0" w:color="000000"/>
            </w:tcBorders>
          </w:tcPr>
          <w:p w14:paraId="4E32AFD6" w14:textId="2597B693" w:rsidR="00A5001F" w:rsidRPr="00B31E27" w:rsidRDefault="00A5001F" w:rsidP="00A5001F">
            <w:pPr>
              <w:pStyle w:val="NoSpacing"/>
              <w:rPr>
                <w:rFonts w:asciiTheme="majorHAnsi" w:hAnsiTheme="majorHAnsi" w:cstheme="majorHAnsi"/>
                <w:lang w:bidi="ar-KW"/>
              </w:rPr>
            </w:pPr>
          </w:p>
        </w:tc>
      </w:tr>
      <w:tr w:rsidR="00A5001F" w:rsidRPr="00B31E27" w14:paraId="0CC7297E"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0CE387"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9186" w:type="dxa"/>
            <w:tcBorders>
              <w:top w:val="single" w:sz="4" w:space="0" w:color="000000"/>
              <w:left w:val="single" w:sz="4" w:space="0" w:color="000000"/>
              <w:bottom w:val="single" w:sz="4" w:space="0" w:color="000000"/>
              <w:right w:val="single" w:sz="4" w:space="0" w:color="000000"/>
            </w:tcBorders>
          </w:tcPr>
          <w:p w14:paraId="718169DD" w14:textId="4843DDAC" w:rsidR="00A5001F" w:rsidRPr="00B31E27" w:rsidRDefault="00A5001F" w:rsidP="00A5001F">
            <w:pPr>
              <w:pStyle w:val="NoSpacing"/>
              <w:rPr>
                <w:rFonts w:asciiTheme="majorHAnsi" w:hAnsiTheme="majorHAnsi" w:cstheme="majorHAnsi"/>
                <w:lang w:bidi="ar-KW"/>
              </w:rPr>
            </w:pPr>
          </w:p>
        </w:tc>
      </w:tr>
      <w:tr w:rsidR="00A5001F" w:rsidRPr="00B31E27" w14:paraId="46617EAE"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8F70F5"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9186" w:type="dxa"/>
            <w:tcBorders>
              <w:top w:val="single" w:sz="4" w:space="0" w:color="000000"/>
              <w:left w:val="single" w:sz="4" w:space="0" w:color="000000"/>
              <w:bottom w:val="single" w:sz="4" w:space="0" w:color="000000"/>
              <w:right w:val="single" w:sz="4" w:space="0" w:color="000000"/>
            </w:tcBorders>
          </w:tcPr>
          <w:p w14:paraId="4CED4AF5" w14:textId="77777777" w:rsidR="00A5001F" w:rsidRPr="00B31E27" w:rsidRDefault="00A5001F" w:rsidP="00A5001F">
            <w:pPr>
              <w:pStyle w:val="NoSpacing"/>
              <w:rPr>
                <w:rFonts w:asciiTheme="majorHAnsi" w:hAnsiTheme="majorHAnsi" w:cstheme="majorHAnsi"/>
                <w:lang w:bidi="ar-KW"/>
              </w:rPr>
            </w:pPr>
          </w:p>
        </w:tc>
      </w:tr>
      <w:tr w:rsidR="00A5001F" w:rsidRPr="00B31E27" w14:paraId="28EEB9DC" w14:textId="77777777" w:rsidTr="00BA2E53">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45C5B6"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9186" w:type="dxa"/>
            <w:tcBorders>
              <w:top w:val="single" w:sz="4" w:space="0" w:color="000000"/>
              <w:left w:val="single" w:sz="4" w:space="0" w:color="000000"/>
              <w:bottom w:val="single" w:sz="4" w:space="0" w:color="000000"/>
              <w:right w:val="single" w:sz="4" w:space="0" w:color="000000"/>
            </w:tcBorders>
          </w:tcPr>
          <w:p w14:paraId="00BE8B32" w14:textId="6E9BF921" w:rsidR="00A5001F" w:rsidRPr="00B31E27" w:rsidRDefault="00A5001F" w:rsidP="00A5001F">
            <w:pPr>
              <w:pStyle w:val="NoSpacing"/>
              <w:rPr>
                <w:rFonts w:asciiTheme="majorHAnsi" w:hAnsiTheme="majorHAnsi" w:cstheme="majorHAnsi"/>
                <w:lang w:bidi="ar-KW"/>
              </w:rPr>
            </w:pPr>
          </w:p>
        </w:tc>
      </w:tr>
      <w:tr w:rsidR="00A5001F" w:rsidRPr="00B31E27" w14:paraId="7B6693DA" w14:textId="77777777" w:rsidTr="00BA2E53">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95CE558"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14</w:t>
            </w:r>
          </w:p>
        </w:tc>
        <w:tc>
          <w:tcPr>
            <w:tcW w:w="9186" w:type="dxa"/>
            <w:tcBorders>
              <w:top w:val="single" w:sz="4" w:space="0" w:color="000000"/>
              <w:left w:val="single" w:sz="4" w:space="0" w:color="000000"/>
              <w:bottom w:val="single" w:sz="4" w:space="0" w:color="000000"/>
              <w:right w:val="single" w:sz="4" w:space="0" w:color="000000"/>
            </w:tcBorders>
          </w:tcPr>
          <w:p w14:paraId="2BD73DB2" w14:textId="70B16B89" w:rsidR="00A5001F" w:rsidRPr="00B31E27" w:rsidRDefault="00A5001F" w:rsidP="00A5001F">
            <w:pPr>
              <w:pStyle w:val="NoSpacing"/>
              <w:rPr>
                <w:rFonts w:asciiTheme="majorHAnsi" w:hAnsiTheme="majorHAnsi" w:cstheme="majorHAnsi"/>
                <w:lang w:bidi="ar-KW"/>
              </w:rPr>
            </w:pPr>
          </w:p>
        </w:tc>
      </w:tr>
      <w:tr w:rsidR="00A5001F" w:rsidRPr="00B31E27" w14:paraId="6AA1B62B" w14:textId="77777777" w:rsidTr="00BA2E53">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9430942" w14:textId="77777777" w:rsidR="00A5001F" w:rsidRPr="00DF3F1E" w:rsidRDefault="00A5001F" w:rsidP="00A5001F">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15</w:t>
            </w:r>
          </w:p>
        </w:tc>
        <w:tc>
          <w:tcPr>
            <w:tcW w:w="9186" w:type="dxa"/>
            <w:tcBorders>
              <w:top w:val="single" w:sz="4" w:space="0" w:color="000000"/>
              <w:left w:val="single" w:sz="4" w:space="0" w:color="000000"/>
              <w:bottom w:val="single" w:sz="4" w:space="0" w:color="000000"/>
              <w:right w:val="single" w:sz="4" w:space="0" w:color="000000"/>
            </w:tcBorders>
          </w:tcPr>
          <w:p w14:paraId="0BC6F495" w14:textId="61774D0C" w:rsidR="00A5001F" w:rsidRPr="00B31E27" w:rsidRDefault="00A5001F" w:rsidP="00A5001F">
            <w:pPr>
              <w:pStyle w:val="NoSpacing"/>
              <w:rPr>
                <w:rFonts w:asciiTheme="majorHAnsi" w:hAnsiTheme="majorHAnsi" w:cstheme="majorHAnsi"/>
              </w:rPr>
            </w:pPr>
          </w:p>
        </w:tc>
      </w:tr>
      <w:tr w:rsidR="00AB3AF5" w:rsidRPr="00B31E27" w14:paraId="780A47D1" w14:textId="77777777" w:rsidTr="00BA2E53">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CC1638D" w14:textId="45809932" w:rsidR="00AB3AF5" w:rsidRPr="00DF3F1E" w:rsidRDefault="00AB3AF5" w:rsidP="00A5001F">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16</w:t>
            </w:r>
          </w:p>
        </w:tc>
        <w:tc>
          <w:tcPr>
            <w:tcW w:w="9186" w:type="dxa"/>
            <w:tcBorders>
              <w:top w:val="single" w:sz="4" w:space="0" w:color="000000"/>
              <w:left w:val="single" w:sz="4" w:space="0" w:color="000000"/>
              <w:bottom w:val="single" w:sz="4" w:space="0" w:color="000000"/>
              <w:right w:val="single" w:sz="4" w:space="0" w:color="000000"/>
            </w:tcBorders>
          </w:tcPr>
          <w:p w14:paraId="0214EE65" w14:textId="77777777" w:rsidR="00AB3AF5" w:rsidRPr="00B31E27" w:rsidRDefault="00AB3AF5" w:rsidP="00A5001F">
            <w:pPr>
              <w:pStyle w:val="NoSpacing"/>
              <w:rPr>
                <w:rFonts w:asciiTheme="majorHAnsi" w:hAnsiTheme="majorHAnsi" w:cstheme="majorHAnsi"/>
              </w:rPr>
            </w:pPr>
          </w:p>
        </w:tc>
      </w:tr>
      <w:tr w:rsidR="00AB3AF5" w:rsidRPr="00B31E27" w14:paraId="497E7CD9" w14:textId="77777777" w:rsidTr="00BA2E53">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D7226CC" w14:textId="5F561F87" w:rsidR="00AB3AF5" w:rsidRPr="00DF3F1E" w:rsidRDefault="00AB3AF5" w:rsidP="00A5001F">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t>Week 17</w:t>
            </w:r>
          </w:p>
        </w:tc>
        <w:tc>
          <w:tcPr>
            <w:tcW w:w="9186" w:type="dxa"/>
            <w:tcBorders>
              <w:top w:val="single" w:sz="4" w:space="0" w:color="000000"/>
              <w:left w:val="single" w:sz="4" w:space="0" w:color="000000"/>
              <w:bottom w:val="single" w:sz="4" w:space="0" w:color="000000"/>
              <w:right w:val="single" w:sz="4" w:space="0" w:color="000000"/>
            </w:tcBorders>
          </w:tcPr>
          <w:p w14:paraId="5F47330E" w14:textId="77777777" w:rsidR="00AB3AF5" w:rsidRPr="00B31E27" w:rsidRDefault="00AB3AF5" w:rsidP="00A5001F">
            <w:pPr>
              <w:pStyle w:val="NoSpacing"/>
              <w:rPr>
                <w:rFonts w:asciiTheme="majorHAnsi" w:hAnsiTheme="majorHAnsi" w:cstheme="majorHAnsi"/>
              </w:rPr>
            </w:pPr>
          </w:p>
        </w:tc>
      </w:tr>
      <w:tr w:rsidR="00AB3AF5" w:rsidRPr="00B31E27" w14:paraId="42327042" w14:textId="77777777" w:rsidTr="00BA2E53">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B2ADB69" w14:textId="724EAF9C" w:rsidR="00AB3AF5" w:rsidRPr="00DF3F1E" w:rsidRDefault="00AB3AF5" w:rsidP="00A5001F">
            <w:pPr>
              <w:pStyle w:val="NoSpacing"/>
              <w:jc w:val="center"/>
              <w:rPr>
                <w:rFonts w:asciiTheme="majorHAnsi" w:eastAsia="Cambria" w:hAnsiTheme="majorHAnsi" w:cstheme="majorHAnsi"/>
                <w:bCs/>
                <w:color w:val="000000"/>
              </w:rPr>
            </w:pPr>
            <w:r>
              <w:rPr>
                <w:rFonts w:asciiTheme="majorHAnsi" w:eastAsia="Cambria" w:hAnsiTheme="majorHAnsi" w:cstheme="majorHAnsi"/>
                <w:bCs/>
                <w:color w:val="000000"/>
              </w:rPr>
              <w:lastRenderedPageBreak/>
              <w:t>Week 18</w:t>
            </w:r>
          </w:p>
        </w:tc>
        <w:tc>
          <w:tcPr>
            <w:tcW w:w="9186" w:type="dxa"/>
            <w:tcBorders>
              <w:top w:val="single" w:sz="4" w:space="0" w:color="000000"/>
              <w:left w:val="single" w:sz="4" w:space="0" w:color="000000"/>
              <w:bottom w:val="single" w:sz="4" w:space="0" w:color="000000"/>
              <w:right w:val="single" w:sz="4" w:space="0" w:color="000000"/>
            </w:tcBorders>
          </w:tcPr>
          <w:p w14:paraId="46303372" w14:textId="77777777" w:rsidR="00AB3AF5" w:rsidRPr="00B31E27" w:rsidRDefault="00AB3AF5" w:rsidP="00A5001F">
            <w:pPr>
              <w:pStyle w:val="NoSpacing"/>
              <w:rPr>
                <w:rFonts w:asciiTheme="majorHAnsi" w:hAnsiTheme="majorHAnsi" w:cstheme="majorHAnsi"/>
              </w:rPr>
            </w:pPr>
          </w:p>
        </w:tc>
      </w:tr>
    </w:tbl>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1B5146" w:rsidRPr="00B31E27" w14:paraId="586FE9ED" w14:textId="77777777" w:rsidTr="00956238">
        <w:tc>
          <w:tcPr>
            <w:tcW w:w="10380"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3" w:name="_lnxbz9" w:colFirst="0" w:colLast="0"/>
            <w:bookmarkEnd w:id="13"/>
            <w:r w:rsidRPr="00B31E27">
              <w:rPr>
                <w:rFonts w:asciiTheme="majorHAnsi" w:hAnsiTheme="majorHAnsi" w:cstheme="majorHAnsi"/>
                <w:sz w:val="24"/>
                <w:szCs w:val="24"/>
              </w:rPr>
              <w:t>Course Keywords</w:t>
            </w:r>
          </w:p>
        </w:tc>
      </w:tr>
      <w:tr w:rsidR="001B5146" w:rsidRPr="00B31E27" w14:paraId="3EC122A3" w14:textId="77777777" w:rsidTr="00E2478E">
        <w:trPr>
          <w:trHeight w:val="250"/>
        </w:trPr>
        <w:tc>
          <w:tcPr>
            <w:tcW w:w="10380" w:type="dxa"/>
            <w:tcBorders>
              <w:top w:val="single" w:sz="4" w:space="0" w:color="000000"/>
              <w:left w:val="single" w:sz="4" w:space="0" w:color="000000"/>
              <w:bottom w:val="single" w:sz="4" w:space="0" w:color="000000"/>
              <w:right w:val="single" w:sz="4" w:space="0" w:color="000000"/>
            </w:tcBorders>
            <w:vAlign w:val="center"/>
          </w:tcPr>
          <w:p w14:paraId="23B88264" w14:textId="77777777" w:rsidR="001B5146" w:rsidRPr="00B31E27" w:rsidRDefault="001B5146" w:rsidP="001A4CCD">
            <w:pPr>
              <w:jc w:val="center"/>
              <w:rPr>
                <w:rFonts w:asciiTheme="majorHAnsi" w:hAnsiTheme="majorHAnsi" w:cstheme="majorHAnsi"/>
                <w:bCs/>
              </w:rPr>
            </w:pPr>
          </w:p>
          <w:p w14:paraId="162C5B8E" w14:textId="045DB3E4" w:rsidR="00956238" w:rsidRPr="00DD1F6D" w:rsidRDefault="00D05C2C" w:rsidP="00D05C2C">
            <w:pPr>
              <w:rPr>
                <w:rFonts w:asciiTheme="majorHAnsi" w:hAnsiTheme="majorHAnsi" w:cstheme="majorHAnsi"/>
                <w:b/>
                <w:bCs/>
              </w:rPr>
            </w:pPr>
            <w:r w:rsidRPr="00D05C2C">
              <w:rPr>
                <w:rFonts w:ascii="Montserrat" w:hAnsi="Montserrat"/>
                <w:bCs/>
                <w:color w:val="333333"/>
                <w:sz w:val="21"/>
                <w:szCs w:val="21"/>
              </w:rPr>
              <w:t xml:space="preserve">Drug delivery, drug classification, drug actions </w:t>
            </w:r>
            <w:r>
              <w:rPr>
                <w:rFonts w:ascii="Montserrat" w:hAnsi="Montserrat"/>
                <w:bCs/>
                <w:color w:val="333333"/>
                <w:sz w:val="21"/>
                <w:szCs w:val="21"/>
              </w:rPr>
              <w:t>,</w:t>
            </w:r>
            <w:r w:rsidR="009B18A8">
              <w:rPr>
                <w:rFonts w:ascii="Montserrat" w:hAnsi="Montserrat"/>
                <w:color w:val="333333"/>
                <w:sz w:val="21"/>
                <w:szCs w:val="21"/>
              </w:rPr>
              <w:t xml:space="preserve">drug safety </w:t>
            </w:r>
          </w:p>
        </w:tc>
      </w:tr>
    </w:tbl>
    <w:p w14:paraId="69C3AE1A" w14:textId="77777777" w:rsidR="00B31E27" w:rsidRPr="002B3C0D" w:rsidRDefault="00B31E27" w:rsidP="00E2478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21"/>
      <w:footerReference w:type="default" r:id="rId22"/>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B206" w14:textId="77777777" w:rsidR="00D205A9" w:rsidRDefault="00D205A9">
      <w:r>
        <w:separator/>
      </w:r>
    </w:p>
  </w:endnote>
  <w:endnote w:type="continuationSeparator" w:id="0">
    <w:p w14:paraId="6B534F8D" w14:textId="77777777" w:rsidR="00D205A9" w:rsidRDefault="00D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acques Francois Shadow">
    <w:altName w:val="Times New Roman"/>
    <w:charset w:val="00"/>
    <w:family w:val="auto"/>
    <w:pitch w:val="default"/>
  </w:font>
  <w:font w:name="Montserrat">
    <w:altName w:val="Sitka Small"/>
    <w:charset w:val="00"/>
    <w:family w:val="auto"/>
    <w:pitch w:val="variable"/>
    <w:sig w:usb0="00000003" w:usb1="4000204A" w:usb2="00000000" w:usb3="00000000" w:csb0="00000001" w:csb1="00000000"/>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AEC1" w14:textId="38FBE42A" w:rsidR="001B5146" w:rsidRDefault="00A5282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E6196">
      <w:rPr>
        <w:rFonts w:ascii="Cambria" w:eastAsia="Cambria" w:hAnsi="Cambria"/>
        <w:noProof/>
        <w:color w:val="000000"/>
        <w:sz w:val="22"/>
        <w:szCs w:val="22"/>
        <w:rtl/>
      </w:rPr>
      <w:t>7</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1B5146" w:rsidRDefault="001B5146">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E10D0" w14:textId="77777777" w:rsidR="00D205A9" w:rsidRDefault="00D205A9">
      <w:r>
        <w:separator/>
      </w:r>
    </w:p>
  </w:footnote>
  <w:footnote w:type="continuationSeparator" w:id="0">
    <w:p w14:paraId="284D5454" w14:textId="77777777" w:rsidR="00D205A9" w:rsidRDefault="00D205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AA9A" w14:textId="77777777" w:rsidR="001B5146" w:rsidRPr="001A4CCD" w:rsidRDefault="001B5146">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1B5146"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1B5146" w:rsidRPr="001A4CCD" w:rsidRDefault="0076402C">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376B8954" w14:textId="77777777"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14:paraId="33801E21" w14:textId="77777777" w:rsidR="001B5146" w:rsidRPr="001A4CCD" w:rsidRDefault="00A5282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8D53FC"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8D53FC" w:rsidRPr="001A4CCD" w:rsidRDefault="000F2693"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69AD5542" w14:textId="77777777" w:rsidR="00AB3AF5" w:rsidRDefault="00345D28" w:rsidP="00AB3AF5">
          <w:pPr>
            <w:widowControl/>
            <w:tabs>
              <w:tab w:val="left" w:pos="2490"/>
            </w:tabs>
            <w:jc w:val="center"/>
            <w:rPr>
              <w:rFonts w:asciiTheme="majorHAnsi" w:eastAsia="Comfortaa" w:hAnsiTheme="majorHAnsi" w:cstheme="majorHAnsi"/>
              <w:b/>
              <w:sz w:val="28"/>
              <w:szCs w:val="28"/>
            </w:rPr>
          </w:pPr>
          <w:r>
            <w:rPr>
              <w:rFonts w:asciiTheme="majorHAnsi" w:eastAsia="Comfortaa" w:hAnsiTheme="majorHAnsi" w:cstheme="majorHAnsi"/>
              <w:b/>
              <w:sz w:val="28"/>
              <w:szCs w:val="28"/>
            </w:rPr>
            <w:t>Academic Year 2023 – 2024</w:t>
          </w:r>
        </w:p>
        <w:p w14:paraId="33862AEE" w14:textId="30312D8D" w:rsidR="00AB3AF5" w:rsidRPr="001A4CCD" w:rsidRDefault="00AB3AF5" w:rsidP="00AB3AF5">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 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14:paraId="2DAA6F31" w14:textId="08F4D45F" w:rsidR="008D53FC" w:rsidRPr="001A4CCD" w:rsidRDefault="008D53FC">
          <w:pPr>
            <w:widowControl/>
            <w:tabs>
              <w:tab w:val="left" w:pos="2490"/>
            </w:tabs>
            <w:jc w:val="center"/>
            <w:rPr>
              <w:rFonts w:asciiTheme="majorHAnsi" w:eastAsia="Comfortaa" w:hAnsiTheme="majorHAnsi" w:cstheme="majorHAnsi"/>
              <w:b/>
              <w:sz w:val="28"/>
              <w:szCs w:val="28"/>
            </w:rPr>
          </w:pPr>
        </w:p>
      </w:tc>
      <w:tc>
        <w:tcPr>
          <w:tcW w:w="2826" w:type="dxa"/>
          <w:shd w:val="clear" w:color="auto" w:fill="auto"/>
          <w:tcMar>
            <w:top w:w="100" w:type="dxa"/>
            <w:left w:w="100" w:type="dxa"/>
            <w:bottom w:w="100" w:type="dxa"/>
            <w:right w:w="100" w:type="dxa"/>
          </w:tcMar>
        </w:tcPr>
        <w:p w14:paraId="7E786491" w14:textId="7AC53CEA" w:rsidR="008D53FC" w:rsidRPr="001A4CCD" w:rsidRDefault="000F2693"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sidRPr="001A4CCD">
            <w:rPr>
              <w:rFonts w:asciiTheme="majorHAnsi" w:eastAsia="Arial" w:hAnsiTheme="majorHAnsi" w:cstheme="majorHAnsi"/>
            </w:rPr>
            <w:t xml:space="preserve"> semester 2</w:t>
          </w:r>
          <w:r w:rsidRPr="001A4CCD">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1B5146" w:rsidRPr="001A4CCD" w:rsidRDefault="001B5146">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44"/>
    <w:multiLevelType w:val="multilevel"/>
    <w:tmpl w:val="6FF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230DE"/>
    <w:multiLevelType w:val="hybridMultilevel"/>
    <w:tmpl w:val="EBC22C4E"/>
    <w:lvl w:ilvl="0" w:tplc="A8AA1F4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BB522B4"/>
    <w:multiLevelType w:val="hybridMultilevel"/>
    <w:tmpl w:val="350C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42793"/>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E7BFD"/>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32688"/>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66CEE"/>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DD32FA8"/>
    <w:multiLevelType w:val="hybridMultilevel"/>
    <w:tmpl w:val="CFC4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F2C1B"/>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26CA"/>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432BBA"/>
    <w:multiLevelType w:val="hybridMultilevel"/>
    <w:tmpl w:val="DEC0EFA2"/>
    <w:lvl w:ilvl="0" w:tplc="C32E41C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B7F78"/>
    <w:multiLevelType w:val="hybridMultilevel"/>
    <w:tmpl w:val="F3CA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E03D00"/>
    <w:multiLevelType w:val="multilevel"/>
    <w:tmpl w:val="EF7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9142E"/>
    <w:multiLevelType w:val="hybridMultilevel"/>
    <w:tmpl w:val="3BE41740"/>
    <w:lvl w:ilvl="0" w:tplc="040A4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3720728"/>
    <w:multiLevelType w:val="hybridMultilevel"/>
    <w:tmpl w:val="3E6E8EE0"/>
    <w:lvl w:ilvl="0" w:tplc="4C026D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C1EF3"/>
    <w:multiLevelType w:val="hybridMultilevel"/>
    <w:tmpl w:val="E1787662"/>
    <w:lvl w:ilvl="0" w:tplc="8FD203C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151B5"/>
    <w:multiLevelType w:val="multilevel"/>
    <w:tmpl w:val="9C3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93F8B"/>
    <w:multiLevelType w:val="hybridMultilevel"/>
    <w:tmpl w:val="5664BB2C"/>
    <w:lvl w:ilvl="0" w:tplc="1C261FC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
  </w:num>
  <w:num w:numId="4">
    <w:abstractNumId w:val="33"/>
  </w:num>
  <w:num w:numId="5">
    <w:abstractNumId w:val="34"/>
  </w:num>
  <w:num w:numId="6">
    <w:abstractNumId w:val="3"/>
  </w:num>
  <w:num w:numId="7">
    <w:abstractNumId w:val="7"/>
  </w:num>
  <w:num w:numId="8">
    <w:abstractNumId w:val="12"/>
  </w:num>
  <w:num w:numId="9">
    <w:abstractNumId w:val="2"/>
  </w:num>
  <w:num w:numId="10">
    <w:abstractNumId w:val="26"/>
  </w:num>
  <w:num w:numId="11">
    <w:abstractNumId w:val="39"/>
  </w:num>
  <w:num w:numId="12">
    <w:abstractNumId w:val="28"/>
  </w:num>
  <w:num w:numId="13">
    <w:abstractNumId w:val="22"/>
  </w:num>
  <w:num w:numId="14">
    <w:abstractNumId w:val="9"/>
  </w:num>
  <w:num w:numId="15">
    <w:abstractNumId w:val="30"/>
  </w:num>
  <w:num w:numId="16">
    <w:abstractNumId w:val="31"/>
  </w:num>
  <w:num w:numId="17">
    <w:abstractNumId w:val="37"/>
  </w:num>
  <w:num w:numId="18">
    <w:abstractNumId w:val="36"/>
  </w:num>
  <w:num w:numId="19">
    <w:abstractNumId w:val="38"/>
  </w:num>
  <w:num w:numId="20">
    <w:abstractNumId w:val="16"/>
  </w:num>
  <w:num w:numId="21">
    <w:abstractNumId w:val="21"/>
  </w:num>
  <w:num w:numId="22">
    <w:abstractNumId w:val="19"/>
  </w:num>
  <w:num w:numId="23">
    <w:abstractNumId w:val="4"/>
  </w:num>
  <w:num w:numId="24">
    <w:abstractNumId w:val="17"/>
  </w:num>
  <w:num w:numId="25">
    <w:abstractNumId w:val="13"/>
  </w:num>
  <w:num w:numId="26">
    <w:abstractNumId w:val="18"/>
  </w:num>
  <w:num w:numId="27">
    <w:abstractNumId w:val="0"/>
  </w:num>
  <w:num w:numId="28">
    <w:abstractNumId w:val="32"/>
  </w:num>
  <w:num w:numId="29">
    <w:abstractNumId w:val="24"/>
  </w:num>
  <w:num w:numId="30">
    <w:abstractNumId w:val="11"/>
  </w:num>
  <w:num w:numId="31">
    <w:abstractNumId w:val="8"/>
  </w:num>
  <w:num w:numId="32">
    <w:abstractNumId w:val="15"/>
  </w:num>
  <w:num w:numId="33">
    <w:abstractNumId w:val="10"/>
  </w:num>
  <w:num w:numId="34">
    <w:abstractNumId w:val="14"/>
  </w:num>
  <w:num w:numId="35">
    <w:abstractNumId w:val="6"/>
  </w:num>
  <w:num w:numId="36">
    <w:abstractNumId w:val="29"/>
  </w:num>
  <w:num w:numId="37">
    <w:abstractNumId w:val="25"/>
  </w:num>
  <w:num w:numId="38">
    <w:abstractNumId w:val="5"/>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46"/>
    <w:rsid w:val="00001903"/>
    <w:rsid w:val="00005DB8"/>
    <w:rsid w:val="00007233"/>
    <w:rsid w:val="00010593"/>
    <w:rsid w:val="00032F0D"/>
    <w:rsid w:val="00060D79"/>
    <w:rsid w:val="00083574"/>
    <w:rsid w:val="000D2E76"/>
    <w:rsid w:val="000D4C52"/>
    <w:rsid w:val="000D7659"/>
    <w:rsid w:val="000F2693"/>
    <w:rsid w:val="001441DB"/>
    <w:rsid w:val="00144E8A"/>
    <w:rsid w:val="0016594B"/>
    <w:rsid w:val="00187B9C"/>
    <w:rsid w:val="00192FB0"/>
    <w:rsid w:val="001A4CCD"/>
    <w:rsid w:val="001B5146"/>
    <w:rsid w:val="001B660E"/>
    <w:rsid w:val="001C5AD0"/>
    <w:rsid w:val="001E3AE7"/>
    <w:rsid w:val="001E6937"/>
    <w:rsid w:val="001F0A8F"/>
    <w:rsid w:val="0025440F"/>
    <w:rsid w:val="002B3C0D"/>
    <w:rsid w:val="002C06E4"/>
    <w:rsid w:val="002E3839"/>
    <w:rsid w:val="002F4A77"/>
    <w:rsid w:val="003107A5"/>
    <w:rsid w:val="003124C2"/>
    <w:rsid w:val="003230C7"/>
    <w:rsid w:val="003265F9"/>
    <w:rsid w:val="0032788B"/>
    <w:rsid w:val="00340671"/>
    <w:rsid w:val="00342DE9"/>
    <w:rsid w:val="00345D28"/>
    <w:rsid w:val="00350F3B"/>
    <w:rsid w:val="003534F7"/>
    <w:rsid w:val="00383CB1"/>
    <w:rsid w:val="003A7C62"/>
    <w:rsid w:val="003B30E0"/>
    <w:rsid w:val="003C2E18"/>
    <w:rsid w:val="003C733C"/>
    <w:rsid w:val="003E5BBE"/>
    <w:rsid w:val="003E7724"/>
    <w:rsid w:val="003F367D"/>
    <w:rsid w:val="003F629E"/>
    <w:rsid w:val="004107EF"/>
    <w:rsid w:val="00415300"/>
    <w:rsid w:val="00422A77"/>
    <w:rsid w:val="0044362C"/>
    <w:rsid w:val="00447424"/>
    <w:rsid w:val="00462F4C"/>
    <w:rsid w:val="00471C0C"/>
    <w:rsid w:val="004B7950"/>
    <w:rsid w:val="004C51E8"/>
    <w:rsid w:val="005155D3"/>
    <w:rsid w:val="00517046"/>
    <w:rsid w:val="00523F94"/>
    <w:rsid w:val="00533AE3"/>
    <w:rsid w:val="00534537"/>
    <w:rsid w:val="00541E0E"/>
    <w:rsid w:val="00573ECC"/>
    <w:rsid w:val="005922D2"/>
    <w:rsid w:val="00595B5C"/>
    <w:rsid w:val="005A00E6"/>
    <w:rsid w:val="005C02A2"/>
    <w:rsid w:val="005C2007"/>
    <w:rsid w:val="005C3A68"/>
    <w:rsid w:val="005D60DD"/>
    <w:rsid w:val="005D691D"/>
    <w:rsid w:val="005E720D"/>
    <w:rsid w:val="0060252F"/>
    <w:rsid w:val="006104C4"/>
    <w:rsid w:val="0064054B"/>
    <w:rsid w:val="00655860"/>
    <w:rsid w:val="00662180"/>
    <w:rsid w:val="00665119"/>
    <w:rsid w:val="006949CC"/>
    <w:rsid w:val="00694DB7"/>
    <w:rsid w:val="006A0C72"/>
    <w:rsid w:val="006A6111"/>
    <w:rsid w:val="006C25B7"/>
    <w:rsid w:val="006C2AC5"/>
    <w:rsid w:val="006C3C11"/>
    <w:rsid w:val="006E3496"/>
    <w:rsid w:val="00705A28"/>
    <w:rsid w:val="00712511"/>
    <w:rsid w:val="007206BA"/>
    <w:rsid w:val="007440DF"/>
    <w:rsid w:val="007543B2"/>
    <w:rsid w:val="007639DC"/>
    <w:rsid w:val="0076402C"/>
    <w:rsid w:val="007761CA"/>
    <w:rsid w:val="007943B6"/>
    <w:rsid w:val="007A2B70"/>
    <w:rsid w:val="007A4090"/>
    <w:rsid w:val="007C295E"/>
    <w:rsid w:val="007D7FAB"/>
    <w:rsid w:val="007E36F4"/>
    <w:rsid w:val="007E7751"/>
    <w:rsid w:val="00820DE3"/>
    <w:rsid w:val="00827D9F"/>
    <w:rsid w:val="00833561"/>
    <w:rsid w:val="00844D91"/>
    <w:rsid w:val="008608DF"/>
    <w:rsid w:val="00862232"/>
    <w:rsid w:val="0086395A"/>
    <w:rsid w:val="008712B6"/>
    <w:rsid w:val="00877A7B"/>
    <w:rsid w:val="008A184D"/>
    <w:rsid w:val="008C213B"/>
    <w:rsid w:val="008D2845"/>
    <w:rsid w:val="008D53FC"/>
    <w:rsid w:val="00907446"/>
    <w:rsid w:val="009108FB"/>
    <w:rsid w:val="0091341E"/>
    <w:rsid w:val="00921CA7"/>
    <w:rsid w:val="00924491"/>
    <w:rsid w:val="0093055A"/>
    <w:rsid w:val="00933C44"/>
    <w:rsid w:val="00937DAC"/>
    <w:rsid w:val="009470EA"/>
    <w:rsid w:val="00951584"/>
    <w:rsid w:val="00956238"/>
    <w:rsid w:val="009700C5"/>
    <w:rsid w:val="00987680"/>
    <w:rsid w:val="009A7051"/>
    <w:rsid w:val="009B1862"/>
    <w:rsid w:val="009B18A8"/>
    <w:rsid w:val="009C6223"/>
    <w:rsid w:val="00A026B1"/>
    <w:rsid w:val="00A0320E"/>
    <w:rsid w:val="00A0666B"/>
    <w:rsid w:val="00A07EF0"/>
    <w:rsid w:val="00A218B6"/>
    <w:rsid w:val="00A21998"/>
    <w:rsid w:val="00A22938"/>
    <w:rsid w:val="00A47487"/>
    <w:rsid w:val="00A5001F"/>
    <w:rsid w:val="00A5282F"/>
    <w:rsid w:val="00A576C5"/>
    <w:rsid w:val="00A66D81"/>
    <w:rsid w:val="00A74C8E"/>
    <w:rsid w:val="00A75FA3"/>
    <w:rsid w:val="00A91FFC"/>
    <w:rsid w:val="00AB3AF5"/>
    <w:rsid w:val="00AB60C3"/>
    <w:rsid w:val="00AC0262"/>
    <w:rsid w:val="00B00AD8"/>
    <w:rsid w:val="00B13D87"/>
    <w:rsid w:val="00B15409"/>
    <w:rsid w:val="00B2052A"/>
    <w:rsid w:val="00B31E27"/>
    <w:rsid w:val="00B53A86"/>
    <w:rsid w:val="00B711DA"/>
    <w:rsid w:val="00B71FAB"/>
    <w:rsid w:val="00B810AB"/>
    <w:rsid w:val="00BB4157"/>
    <w:rsid w:val="00BC1674"/>
    <w:rsid w:val="00BD0318"/>
    <w:rsid w:val="00BD0448"/>
    <w:rsid w:val="00BD36BA"/>
    <w:rsid w:val="00BD3B89"/>
    <w:rsid w:val="00BE3A47"/>
    <w:rsid w:val="00C2389F"/>
    <w:rsid w:val="00C23ECC"/>
    <w:rsid w:val="00C26CAE"/>
    <w:rsid w:val="00C46ECF"/>
    <w:rsid w:val="00C470DB"/>
    <w:rsid w:val="00C7180A"/>
    <w:rsid w:val="00C73351"/>
    <w:rsid w:val="00C73639"/>
    <w:rsid w:val="00C947CF"/>
    <w:rsid w:val="00CC6132"/>
    <w:rsid w:val="00CD5FF9"/>
    <w:rsid w:val="00CE3CE3"/>
    <w:rsid w:val="00D05C2C"/>
    <w:rsid w:val="00D205A9"/>
    <w:rsid w:val="00D30B13"/>
    <w:rsid w:val="00D31212"/>
    <w:rsid w:val="00D32539"/>
    <w:rsid w:val="00D33828"/>
    <w:rsid w:val="00D35775"/>
    <w:rsid w:val="00D4763B"/>
    <w:rsid w:val="00D66F23"/>
    <w:rsid w:val="00D72394"/>
    <w:rsid w:val="00D7755C"/>
    <w:rsid w:val="00DA663C"/>
    <w:rsid w:val="00DD10C5"/>
    <w:rsid w:val="00DD1F6D"/>
    <w:rsid w:val="00DE3B23"/>
    <w:rsid w:val="00DF2AE0"/>
    <w:rsid w:val="00DF3F1E"/>
    <w:rsid w:val="00E05EB7"/>
    <w:rsid w:val="00E10EE8"/>
    <w:rsid w:val="00E20F0B"/>
    <w:rsid w:val="00E2478E"/>
    <w:rsid w:val="00E4210A"/>
    <w:rsid w:val="00E63709"/>
    <w:rsid w:val="00EA12F2"/>
    <w:rsid w:val="00EA32B5"/>
    <w:rsid w:val="00EA3E03"/>
    <w:rsid w:val="00EB0D4B"/>
    <w:rsid w:val="00ED184D"/>
    <w:rsid w:val="00EE6196"/>
    <w:rsid w:val="00EE64A8"/>
    <w:rsid w:val="00F122F9"/>
    <w:rsid w:val="00F26404"/>
    <w:rsid w:val="00F27BCD"/>
    <w:rsid w:val="00F73F5A"/>
    <w:rsid w:val="00F80B34"/>
    <w:rsid w:val="00FA097D"/>
    <w:rsid w:val="00FE686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FE1B"/>
  <w15:docId w15:val="{DEC3486A-EE9E-4756-BF19-8CB62B3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
    <w:name w:val="Unresolved Mention"/>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paragraph" w:customStyle="1" w:styleId="TableParagraph">
    <w:name w:val="Table Paragraph"/>
    <w:basedOn w:val="Normal"/>
    <w:uiPriority w:val="1"/>
    <w:qFormat/>
    <w:rsid w:val="00A5001F"/>
    <w:pPr>
      <w:autoSpaceDE w:val="0"/>
      <w:autoSpaceDN w:val="0"/>
    </w:pPr>
    <w:rPr>
      <w:rFonts w:ascii="Arial" w:eastAsia="Arial" w:hAnsi="Arial" w:cs="Arial"/>
      <w:sz w:val="22"/>
      <w:szCs w:val="22"/>
    </w:rPr>
  </w:style>
  <w:style w:type="table" w:customStyle="1" w:styleId="9">
    <w:name w:val="9"/>
    <w:basedOn w:val="TableNormal"/>
    <w:rsid w:val="003124C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ble.edu.krd/" TargetMode="External"/><Relationship Id="rId13" Type="http://schemas.openxmlformats.org/officeDocument/2006/relationships/hyperlink" Target="https://www.ncbi.nlm.nih.gov/pubmed/?term=Pandey%20S%5BAuthor%5D&amp;cauthor=true&amp;cauthor_uid=23071954" TargetMode="External"/><Relationship Id="rId18" Type="http://schemas.openxmlformats.org/officeDocument/2006/relationships/hyperlink" Target="https://www.ncbi.nlm.nih.gov/pmc/about/disclaim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noble.edu.krd/lms/classes.php" TargetMode="External"/><Relationship Id="rId12" Type="http://schemas.openxmlformats.org/officeDocument/2006/relationships/hyperlink" Target="https://www.ncbi.nlm.nih.gov/pubmed/?term=Bhati%20L%5BAuthor%5D&amp;cauthor=true&amp;cauthor_uid=23071954" TargetMode="External"/><Relationship Id="rId17" Type="http://schemas.openxmlformats.org/officeDocument/2006/relationships/hyperlink" Target="https://www.ncbi.nlm.nih.gov/pmc/articles/PMC3465154/" TargetMode="External"/><Relationship Id="rId2" Type="http://schemas.openxmlformats.org/officeDocument/2006/relationships/styles" Target="styles.xml"/><Relationship Id="rId16" Type="http://schemas.openxmlformats.org/officeDocument/2006/relationships/hyperlink" Target="https://www.ncbi.nlm.nih.gov/pmc/articles/PMC3465154/" TargetMode="External"/><Relationship Id="rId20" Type="http://schemas.openxmlformats.org/officeDocument/2006/relationships/hyperlink" Target="https://scholar.google.com/scholar_lookup?journal=Pharmacol+Rev&amp;title=Long-circulating+and+target-specific+nanoparticles:+Theory+to+practice&amp;author=SM+Moghimi&amp;author=AC+Hunter&amp;author=JC+Murray&amp;volume=53&amp;publication_year=2001&amp;pages=283-318&amp;pmid=11356986&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Sriwastawa%20B%5BAuthor%5D&amp;cauthor=true&amp;cauthor_uid=2307195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Bannerjee%20SK%5BAuthor%5D&amp;cauthor=true&amp;cauthor_uid=23071954" TargetMode="External"/><Relationship Id="rId23" Type="http://schemas.openxmlformats.org/officeDocument/2006/relationships/fontTable" Target="fontTable.xml"/><Relationship Id="rId10" Type="http://schemas.openxmlformats.org/officeDocument/2006/relationships/hyperlink" Target="https://www.ncbi.nlm.nih.gov/pubmed/?term=Tiwari%20R%5BAuthor%5D&amp;cauthor=true&amp;cauthor_uid=23071954" TargetMode="External"/><Relationship Id="rId19" Type="http://schemas.openxmlformats.org/officeDocument/2006/relationships/hyperlink" Target="https://www.ncbi.nlm.nih.gov/pubmed/11356986" TargetMode="External"/><Relationship Id="rId4" Type="http://schemas.openxmlformats.org/officeDocument/2006/relationships/webSettings" Target="webSettings.xml"/><Relationship Id="rId9" Type="http://schemas.openxmlformats.org/officeDocument/2006/relationships/hyperlink" Target="https://www.ncbi.nlm.nih.gov/pubmed/?term=Tiwari%20G%5BAuthor%5D&amp;cauthor=true&amp;cauthor_uid=23071954" TargetMode="External"/><Relationship Id="rId14" Type="http://schemas.openxmlformats.org/officeDocument/2006/relationships/hyperlink" Target="https://www.ncbi.nlm.nih.gov/pubmed/?term=Pandey%20P%5BAuthor%5D&amp;cauthor=true&amp;cauthor_uid=2307195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Lenovo</cp:lastModifiedBy>
  <cp:revision>2</cp:revision>
  <cp:lastPrinted>2022-09-13T10:52:00Z</cp:lastPrinted>
  <dcterms:created xsi:type="dcterms:W3CDTF">2023-12-06T07:03:00Z</dcterms:created>
  <dcterms:modified xsi:type="dcterms:W3CDTF">2023-12-06T07:03:00Z</dcterms:modified>
</cp:coreProperties>
</file>